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9D11DC"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0" w:name="a412022"/>
      <w:r w:rsidRPr="00153075">
        <w:rPr>
          <w:rFonts w:asciiTheme="minorHAnsi" w:hAnsiTheme="minorHAnsi" w:cstheme="minorHAnsi"/>
          <w:sz w:val="20"/>
        </w:rPr>
        <w:t>PLEASE READ THESE TERMS OF SERVICE CAREFULLY BEFORE USING THIS SITE</w:t>
      </w:r>
      <w:bookmarkEnd w:id="0"/>
    </w:p>
    <w:p w14:paraId="03C326C7"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 w:name="a615625"/>
      <w:r w:rsidRPr="00153075">
        <w:rPr>
          <w:rFonts w:asciiTheme="minorHAnsi" w:hAnsiTheme="minorHAnsi" w:cstheme="minorHAnsi"/>
          <w:sz w:val="20"/>
        </w:rPr>
        <w:t>What's in these terms</w:t>
      </w:r>
      <w:bookmarkEnd w:id="1"/>
    </w:p>
    <w:p w14:paraId="70B34B86" w14:textId="2E7EC7F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These terms tell you the rules for using our website </w:t>
      </w:r>
      <w:r w:rsidR="00C55631">
        <w:rPr>
          <w:rFonts w:asciiTheme="minorHAnsi" w:hAnsiTheme="minorHAnsi" w:cstheme="minorHAnsi"/>
          <w:sz w:val="20"/>
        </w:rPr>
        <w:t xml:space="preserve">enjoytheview.co.uk. </w:t>
      </w:r>
    </w:p>
    <w:p w14:paraId="67CF3667"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2" w:name="a707346"/>
      <w:r w:rsidRPr="00153075">
        <w:rPr>
          <w:rFonts w:asciiTheme="minorHAnsi" w:hAnsiTheme="minorHAnsi" w:cstheme="minorHAnsi"/>
          <w:sz w:val="20"/>
        </w:rPr>
        <w:t>Who we are and how to contact us</w:t>
      </w:r>
      <w:bookmarkEnd w:id="2"/>
    </w:p>
    <w:p w14:paraId="13670DD9" w14:textId="04D5E30C" w:rsidR="00C5253F" w:rsidRPr="00153075" w:rsidRDefault="00196A75" w:rsidP="00153075">
      <w:pPr>
        <w:pStyle w:val="ParaClause"/>
        <w:spacing w:line="240" w:lineRule="auto"/>
        <w:ind w:left="0"/>
        <w:rPr>
          <w:rFonts w:asciiTheme="minorHAnsi" w:hAnsiTheme="minorHAnsi" w:cstheme="minorHAnsi"/>
          <w:sz w:val="20"/>
        </w:rPr>
      </w:pPr>
      <w:r>
        <w:rPr>
          <w:rFonts w:asciiTheme="minorHAnsi" w:hAnsiTheme="minorHAnsi" w:cstheme="minorHAnsi"/>
          <w:sz w:val="20"/>
        </w:rPr>
        <w:t xml:space="preserve">Enjoy the View </w:t>
      </w:r>
      <w:r w:rsidR="00C5253F" w:rsidRPr="00153075">
        <w:rPr>
          <w:rFonts w:asciiTheme="minorHAnsi" w:hAnsiTheme="minorHAnsi" w:cstheme="minorHAnsi"/>
          <w:sz w:val="20"/>
        </w:rPr>
        <w:t xml:space="preserve">is a site operated by </w:t>
      </w:r>
      <w:r>
        <w:rPr>
          <w:rFonts w:asciiTheme="minorHAnsi" w:hAnsiTheme="minorHAnsi" w:cstheme="minorHAnsi"/>
          <w:sz w:val="20"/>
        </w:rPr>
        <w:t>1</w:t>
      </w:r>
      <w:r w:rsidRPr="00196A75">
        <w:rPr>
          <w:rFonts w:asciiTheme="minorHAnsi" w:hAnsiTheme="minorHAnsi" w:cstheme="minorHAnsi"/>
          <w:sz w:val="20"/>
          <w:vertAlign w:val="superscript"/>
        </w:rPr>
        <w:t>st</w:t>
      </w:r>
      <w:r>
        <w:rPr>
          <w:rFonts w:asciiTheme="minorHAnsi" w:hAnsiTheme="minorHAnsi" w:cstheme="minorHAnsi"/>
          <w:sz w:val="20"/>
        </w:rPr>
        <w:t xml:space="preserve"> Folding Sliding Doors Limited</w:t>
      </w:r>
      <w:r w:rsidR="00C5253F" w:rsidRPr="00153075">
        <w:rPr>
          <w:rFonts w:asciiTheme="minorHAnsi" w:hAnsiTheme="minorHAnsi" w:cstheme="minorHAnsi"/>
          <w:sz w:val="20"/>
        </w:rPr>
        <w:t xml:space="preserve">. We are registered in England and Wales under company number </w:t>
      </w:r>
      <w:r w:rsidR="003E1C1D" w:rsidRPr="00A17298">
        <w:rPr>
          <w:rFonts w:asciiTheme="minorHAnsi" w:hAnsiTheme="minorHAnsi" w:cstheme="minorHAnsi"/>
          <w:sz w:val="20"/>
        </w:rPr>
        <w:t>05116502</w:t>
      </w:r>
      <w:r w:rsidR="00C5253F" w:rsidRPr="00153075">
        <w:rPr>
          <w:rFonts w:asciiTheme="minorHAnsi" w:hAnsiTheme="minorHAnsi" w:cstheme="minorHAnsi"/>
          <w:sz w:val="20"/>
        </w:rPr>
        <w:t>and have our registered office at</w:t>
      </w:r>
      <w:r w:rsidR="003E1C1D">
        <w:rPr>
          <w:rFonts w:asciiTheme="minorHAnsi" w:hAnsiTheme="minorHAnsi" w:cstheme="minorHAnsi"/>
          <w:sz w:val="20"/>
        </w:rPr>
        <w:t xml:space="preserve"> </w:t>
      </w:r>
      <w:r w:rsidR="00A17298" w:rsidRPr="00A17298">
        <w:rPr>
          <w:rFonts w:asciiTheme="minorHAnsi" w:hAnsiTheme="minorHAnsi" w:cstheme="minorHAnsi"/>
          <w:sz w:val="20"/>
        </w:rPr>
        <w:t>Unit 26/3 26 Wadsworth Road, Perivale, Greenford, Middlesex, UB6 7JZ</w:t>
      </w:r>
      <w:r w:rsidR="00C5253F" w:rsidRPr="00153075">
        <w:rPr>
          <w:rFonts w:asciiTheme="minorHAnsi" w:hAnsiTheme="minorHAnsi" w:cstheme="minorHAnsi"/>
          <w:sz w:val="20"/>
        </w:rPr>
        <w:t xml:space="preserve">. Our main trading address is </w:t>
      </w:r>
      <w:r w:rsidR="00191354">
        <w:rPr>
          <w:rFonts w:asciiTheme="minorHAnsi" w:hAnsiTheme="minorHAnsi" w:cstheme="minorHAnsi"/>
          <w:sz w:val="20"/>
        </w:rPr>
        <w:t xml:space="preserve">113-117 Gunnersbury Rd, London W5 4LR. </w:t>
      </w:r>
      <w:r w:rsidR="00C5253F" w:rsidRPr="00153075">
        <w:rPr>
          <w:rFonts w:asciiTheme="minorHAnsi" w:hAnsiTheme="minorHAnsi" w:cstheme="minorHAnsi"/>
          <w:sz w:val="20"/>
        </w:rPr>
        <w:t>Our VAT number is</w:t>
      </w:r>
      <w:r w:rsidR="00191354">
        <w:rPr>
          <w:rFonts w:asciiTheme="minorHAnsi" w:hAnsiTheme="minorHAnsi" w:cstheme="minorHAnsi"/>
          <w:sz w:val="20"/>
        </w:rPr>
        <w:t xml:space="preserve"> </w:t>
      </w:r>
      <w:r w:rsidR="00191354">
        <w:rPr>
          <w:color w:val="212121"/>
          <w:sz w:val="22"/>
          <w:szCs w:val="22"/>
          <w:shd w:val="clear" w:color="auto" w:fill="FFFFFF"/>
        </w:rPr>
        <w:t>853 395 990</w:t>
      </w:r>
    </w:p>
    <w:p w14:paraId="4D381A20" w14:textId="72B719D0"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To contact us, please email </w:t>
      </w:r>
      <w:r w:rsidR="00191354">
        <w:rPr>
          <w:rFonts w:asciiTheme="minorHAnsi" w:hAnsiTheme="minorHAnsi" w:cstheme="minorHAnsi"/>
          <w:sz w:val="20"/>
        </w:rPr>
        <w:t>marketiing@enjoytheview.co.uk</w:t>
      </w:r>
      <w:r w:rsidRPr="00153075">
        <w:rPr>
          <w:rFonts w:asciiTheme="minorHAnsi" w:hAnsiTheme="minorHAnsi" w:cstheme="minorHAnsi"/>
          <w:sz w:val="20"/>
        </w:rPr>
        <w:t xml:space="preserve"> [or telephone our customer service line on </w:t>
      </w:r>
      <w:r w:rsidR="00191354">
        <w:rPr>
          <w:rFonts w:asciiTheme="minorHAnsi" w:hAnsiTheme="minorHAnsi" w:cstheme="minorHAnsi"/>
          <w:sz w:val="20"/>
        </w:rPr>
        <w:t>(020) 8997 2448.</w:t>
      </w:r>
    </w:p>
    <w:p w14:paraId="7C4F1237"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3" w:name="a942022"/>
      <w:r w:rsidRPr="00153075">
        <w:rPr>
          <w:rFonts w:asciiTheme="minorHAnsi" w:hAnsiTheme="minorHAnsi" w:cstheme="minorHAnsi"/>
          <w:sz w:val="20"/>
        </w:rPr>
        <w:t xml:space="preserve">By using our </w:t>
      </w:r>
      <w:proofErr w:type="gramStart"/>
      <w:r w:rsidRPr="00153075">
        <w:rPr>
          <w:rFonts w:asciiTheme="minorHAnsi" w:hAnsiTheme="minorHAnsi" w:cstheme="minorHAnsi"/>
          <w:sz w:val="20"/>
        </w:rPr>
        <w:t>site</w:t>
      </w:r>
      <w:proofErr w:type="gramEnd"/>
      <w:r w:rsidRPr="00153075">
        <w:rPr>
          <w:rFonts w:asciiTheme="minorHAnsi" w:hAnsiTheme="minorHAnsi" w:cstheme="minorHAnsi"/>
          <w:sz w:val="20"/>
        </w:rPr>
        <w:t xml:space="preserve"> you accept these terms</w:t>
      </w:r>
      <w:bookmarkEnd w:id="3"/>
    </w:p>
    <w:p w14:paraId="007ACAF6"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By using our site, you confirm that you accept these terms of service and that you agree to comply with them.</w:t>
      </w:r>
    </w:p>
    <w:p w14:paraId="01C8DFF7"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If you do not agree to these terms, you must not use our site.</w:t>
      </w:r>
    </w:p>
    <w:p w14:paraId="1244BABC"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recommend that you print a copy of these terms for future reference.</w:t>
      </w:r>
    </w:p>
    <w:p w14:paraId="71BC7F84"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4" w:name="a208383"/>
      <w:r w:rsidRPr="00153075">
        <w:rPr>
          <w:rFonts w:asciiTheme="minorHAnsi" w:hAnsiTheme="minorHAnsi" w:cstheme="minorHAnsi"/>
          <w:sz w:val="20"/>
        </w:rPr>
        <w:t>There are other terms that may apply to you</w:t>
      </w:r>
      <w:bookmarkEnd w:id="4"/>
    </w:p>
    <w:p w14:paraId="6774EBDD"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These terms of service refer to the following additional terms, which also apply to your use of our site:</w:t>
      </w:r>
    </w:p>
    <w:p w14:paraId="0B897DF1" w14:textId="654E8875" w:rsidR="00C5253F" w:rsidRPr="00153075" w:rsidRDefault="00C5253F" w:rsidP="003D78D5">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 xml:space="preserve">Our </w:t>
      </w:r>
      <w:hyperlink r:id="rId11" w:history="1">
        <w:r w:rsidRPr="00191354">
          <w:rPr>
            <w:rStyle w:val="Hyperlink"/>
            <w:rFonts w:asciiTheme="minorHAnsi" w:hAnsiTheme="minorHAnsi" w:cstheme="minorHAnsi"/>
            <w:sz w:val="20"/>
          </w:rPr>
          <w:t>Privacy Policy</w:t>
        </w:r>
      </w:hyperlink>
      <w:r w:rsidRPr="00153075">
        <w:rPr>
          <w:rFonts w:asciiTheme="minorHAnsi" w:hAnsiTheme="minorHAnsi" w:cstheme="minorHAnsi"/>
          <w:sz w:val="20"/>
        </w:rPr>
        <w:t xml:space="preserve"> which explains how we collect, use and store your personal data.</w:t>
      </w:r>
    </w:p>
    <w:p w14:paraId="34B1354F" w14:textId="35A7E565" w:rsidR="00C5253F" w:rsidRPr="00153075" w:rsidRDefault="00C5253F" w:rsidP="003D78D5">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 xml:space="preserve">Our </w:t>
      </w:r>
      <w:hyperlink r:id="rId12" w:history="1">
        <w:r w:rsidRPr="00191354">
          <w:rPr>
            <w:rStyle w:val="Hyperlink"/>
            <w:rFonts w:asciiTheme="minorHAnsi" w:hAnsiTheme="minorHAnsi" w:cstheme="minorHAnsi"/>
            <w:sz w:val="20"/>
          </w:rPr>
          <w:t>Cookie Policy</w:t>
        </w:r>
      </w:hyperlink>
      <w:r w:rsidRPr="00153075">
        <w:rPr>
          <w:rFonts w:asciiTheme="minorHAnsi" w:hAnsiTheme="minorHAnsi" w:cstheme="minorHAnsi"/>
          <w:sz w:val="20"/>
        </w:rPr>
        <w:t xml:space="preserve"> which sets out information about the cookies on our site.</w:t>
      </w:r>
    </w:p>
    <w:p w14:paraId="0D56D85E" w14:textId="24E80D62"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If you purchase goods or services from</w:t>
      </w:r>
      <w:r w:rsidR="003D78D5">
        <w:rPr>
          <w:rFonts w:asciiTheme="minorHAnsi" w:hAnsiTheme="minorHAnsi" w:cstheme="minorHAnsi"/>
          <w:sz w:val="20"/>
        </w:rPr>
        <w:t xml:space="preserve"> us</w:t>
      </w:r>
      <w:r w:rsidRPr="00153075">
        <w:rPr>
          <w:rFonts w:asciiTheme="minorHAnsi" w:hAnsiTheme="minorHAnsi" w:cstheme="minorHAnsi"/>
          <w:sz w:val="20"/>
        </w:rPr>
        <w:t>, our Terms and Conditions of Supply will apply to the sales.</w:t>
      </w:r>
    </w:p>
    <w:p w14:paraId="2AF618F7"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5" w:name="a107821"/>
      <w:r w:rsidRPr="00153075">
        <w:rPr>
          <w:rFonts w:asciiTheme="minorHAnsi" w:hAnsiTheme="minorHAnsi" w:cstheme="minorHAnsi"/>
          <w:sz w:val="20"/>
        </w:rPr>
        <w:t>We may make changes to these terms</w:t>
      </w:r>
      <w:bookmarkEnd w:id="5"/>
    </w:p>
    <w:p w14:paraId="3E287F2B" w14:textId="5D5C7AC3"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We amend these terms from time to time. Every time you wish to use our site, please check these terms to ensure you understand the terms that apply at that time. </w:t>
      </w:r>
    </w:p>
    <w:p w14:paraId="32A35A61"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6" w:name="a498033"/>
      <w:r w:rsidRPr="00153075">
        <w:rPr>
          <w:rFonts w:asciiTheme="minorHAnsi" w:hAnsiTheme="minorHAnsi" w:cstheme="minorHAnsi"/>
          <w:sz w:val="20"/>
        </w:rPr>
        <w:t>We may make changes to our site</w:t>
      </w:r>
      <w:bookmarkEnd w:id="6"/>
    </w:p>
    <w:p w14:paraId="3FCF1933" w14:textId="40D8C940"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may update and change our site from time to time [to reflect changes to our products, our users' needs and our business priorities</w:t>
      </w:r>
      <w:r w:rsidR="00AB50AC">
        <w:rPr>
          <w:rFonts w:asciiTheme="minorHAnsi" w:hAnsiTheme="minorHAnsi" w:cstheme="minorHAnsi"/>
          <w:sz w:val="20"/>
        </w:rPr>
        <w:t>.</w:t>
      </w:r>
    </w:p>
    <w:p w14:paraId="07068AD4"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7" w:name="a662538"/>
      <w:r w:rsidRPr="00153075">
        <w:rPr>
          <w:rFonts w:asciiTheme="minorHAnsi" w:hAnsiTheme="minorHAnsi" w:cstheme="minorHAnsi"/>
          <w:sz w:val="20"/>
        </w:rPr>
        <w:t>We may suspend or withdraw our site</w:t>
      </w:r>
      <w:bookmarkEnd w:id="7"/>
    </w:p>
    <w:p w14:paraId="62918024" w14:textId="57AD6408"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We do not guarantee that our site, or any content on it, will always be available or be uninterrupted. We may suspend or withdraw or restrict the availability of all or any part of our site for business and operational reasons. </w:t>
      </w:r>
    </w:p>
    <w:p w14:paraId="02EDD553"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are also responsible for ensuring that all persons who access our site through your internet connection are aware of these terms of service and other applicable terms of service, and that they comply with them.</w:t>
      </w:r>
    </w:p>
    <w:p w14:paraId="791D885F"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8" w:name="a775468"/>
      <w:r w:rsidRPr="00153075">
        <w:rPr>
          <w:rFonts w:asciiTheme="minorHAnsi" w:hAnsiTheme="minorHAnsi" w:cstheme="minorHAnsi"/>
          <w:sz w:val="20"/>
        </w:rPr>
        <w:t>We may transfer this agreement to someone else</w:t>
      </w:r>
      <w:bookmarkEnd w:id="8"/>
    </w:p>
    <w:p w14:paraId="7D059FB1"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may transfer our rights and obligations under these terms to another organisation. We will always tell you in writing if this happens and we will ensure that the transfer will not affect your rights under the contract.</w:t>
      </w:r>
    </w:p>
    <w:p w14:paraId="341B43A2"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9" w:name="a553140"/>
      <w:r w:rsidRPr="00153075">
        <w:rPr>
          <w:rFonts w:asciiTheme="minorHAnsi" w:hAnsiTheme="minorHAnsi" w:cstheme="minorHAnsi"/>
          <w:sz w:val="20"/>
        </w:rPr>
        <w:lastRenderedPageBreak/>
        <w:t>How you may use material on our site</w:t>
      </w:r>
      <w:bookmarkEnd w:id="9"/>
    </w:p>
    <w:p w14:paraId="14FE61E4"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are the owner or the licensee of all intellectual property rights in our site, and in the material published on it. Those works are protected by copyright laws and treaties around the world. All such rights are reserved.</w:t>
      </w:r>
    </w:p>
    <w:p w14:paraId="7DFE189A" w14:textId="77220D2B"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may</w:t>
      </w:r>
      <w:r w:rsidR="00C4601D">
        <w:rPr>
          <w:rFonts w:asciiTheme="minorHAnsi" w:hAnsiTheme="minorHAnsi" w:cstheme="minorHAnsi"/>
          <w:sz w:val="20"/>
        </w:rPr>
        <w:t xml:space="preserve"> not</w:t>
      </w:r>
      <w:r w:rsidRPr="00153075">
        <w:rPr>
          <w:rFonts w:asciiTheme="minorHAnsi" w:hAnsiTheme="minorHAnsi" w:cstheme="minorHAnsi"/>
          <w:sz w:val="20"/>
        </w:rPr>
        <w:t xml:space="preserve"> print off cop</w:t>
      </w:r>
      <w:r w:rsidR="00C4601D">
        <w:rPr>
          <w:rFonts w:asciiTheme="minorHAnsi" w:hAnsiTheme="minorHAnsi" w:cstheme="minorHAnsi"/>
          <w:sz w:val="20"/>
        </w:rPr>
        <w:t>ies</w:t>
      </w:r>
      <w:r w:rsidRPr="00153075">
        <w:rPr>
          <w:rFonts w:asciiTheme="minorHAnsi" w:hAnsiTheme="minorHAnsi" w:cstheme="minorHAnsi"/>
          <w:sz w:val="20"/>
        </w:rPr>
        <w:t>,</w:t>
      </w:r>
      <w:r w:rsidR="00C4601D">
        <w:rPr>
          <w:rFonts w:asciiTheme="minorHAnsi" w:hAnsiTheme="minorHAnsi" w:cstheme="minorHAnsi"/>
          <w:sz w:val="20"/>
        </w:rPr>
        <w:t xml:space="preserve"> copy from</w:t>
      </w:r>
      <w:r w:rsidRPr="00153075">
        <w:rPr>
          <w:rFonts w:asciiTheme="minorHAnsi" w:hAnsiTheme="minorHAnsi" w:cstheme="minorHAnsi"/>
          <w:sz w:val="20"/>
        </w:rPr>
        <w:t xml:space="preserve"> </w:t>
      </w:r>
      <w:r w:rsidR="00C4601D">
        <w:rPr>
          <w:rFonts w:asciiTheme="minorHAnsi" w:hAnsiTheme="minorHAnsi" w:cstheme="minorHAnsi"/>
          <w:sz w:val="20"/>
        </w:rPr>
        <w:t xml:space="preserve">nor </w:t>
      </w:r>
      <w:r w:rsidRPr="00153075">
        <w:rPr>
          <w:rFonts w:asciiTheme="minorHAnsi" w:hAnsiTheme="minorHAnsi" w:cstheme="minorHAnsi"/>
          <w:sz w:val="20"/>
        </w:rPr>
        <w:t xml:space="preserve">download extracts, of any page(s) from our site </w:t>
      </w:r>
      <w:r w:rsidR="00C4601D">
        <w:rPr>
          <w:rFonts w:asciiTheme="minorHAnsi" w:hAnsiTheme="minorHAnsi" w:cstheme="minorHAnsi"/>
          <w:sz w:val="20"/>
        </w:rPr>
        <w:t>for any reason.</w:t>
      </w:r>
    </w:p>
    <w:p w14:paraId="04076CD4" w14:textId="483AEA93"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must not use any part of the content on our site for commercial purposes without obtaining a licence to do so from us.</w:t>
      </w:r>
    </w:p>
    <w:p w14:paraId="2BE6B218" w14:textId="1897E20F"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If you print off, copy, download, share or repost any part of our site in breach of these terms of service, your right to use our site will cease immediately and you must, at our option, return or destroy any copies of the materials you have made</w:t>
      </w:r>
      <w:r w:rsidR="001B186A">
        <w:rPr>
          <w:rFonts w:asciiTheme="minorHAnsi" w:hAnsiTheme="minorHAnsi" w:cstheme="minorHAnsi"/>
          <w:sz w:val="20"/>
        </w:rPr>
        <w:t xml:space="preserve"> and we may take action to protection our intellectual property rights</w:t>
      </w:r>
      <w:r w:rsidRPr="00153075">
        <w:rPr>
          <w:rFonts w:asciiTheme="minorHAnsi" w:hAnsiTheme="minorHAnsi" w:cstheme="minorHAnsi"/>
          <w:sz w:val="20"/>
        </w:rPr>
        <w:t>.</w:t>
      </w:r>
    </w:p>
    <w:p w14:paraId="4C4B1B95"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0" w:name="a359849"/>
      <w:r w:rsidRPr="00153075">
        <w:rPr>
          <w:rFonts w:asciiTheme="minorHAnsi" w:hAnsiTheme="minorHAnsi" w:cstheme="minorHAnsi"/>
          <w:sz w:val="20"/>
        </w:rPr>
        <w:t>No text or data mining, or web scraping</w:t>
      </w:r>
      <w:bookmarkEnd w:id="10"/>
    </w:p>
    <w:p w14:paraId="786E0D4D" w14:textId="3A4527FF"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shall not conduct, facilitate, authorise or permit any text or data mining or web scraping in relation to our site or any services provided via, or in relation to, our site for any purpose, including the development, training, fine-tuning or validation of AI systems or models. This includes using (or permitting, authorising or attempting the use of):</w:t>
      </w:r>
    </w:p>
    <w:p w14:paraId="31012B93" w14:textId="77777777" w:rsidR="00C5253F" w:rsidRPr="00153075" w:rsidRDefault="00C5253F" w:rsidP="001B186A">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Any "robot", "bot", "spider", "scraper" or other automated device, program, tool, algorithm, code, process or methodology to access, obtain, copy, monitor or republish any portion of our site or any data, content, information or services accessed via the same.</w:t>
      </w:r>
    </w:p>
    <w:p w14:paraId="14F16FC3" w14:textId="7DD43D9A" w:rsidR="00C5253F" w:rsidRPr="00153075" w:rsidRDefault="00C5253F" w:rsidP="001B186A">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Any automated analytical technique aimed at analysing text and data in digital form to generate information or develop, train, fine-tune or validate AI systems or models which includes but is not limited to patterns, trends and correlations.</w:t>
      </w:r>
    </w:p>
    <w:p w14:paraId="0D5938A6"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The provisions in this clause should be treated as an express reservation of our rights in this regard, including for the purposes of Article 4(3) of the Digital Copyright Directive (</w:t>
      </w:r>
      <w:r w:rsidRPr="00153075">
        <w:rPr>
          <w:rFonts w:asciiTheme="minorHAnsi" w:hAnsiTheme="minorHAnsi" w:cstheme="minorHAnsi"/>
          <w:i/>
          <w:iCs/>
          <w:sz w:val="20"/>
        </w:rPr>
        <w:t>(EU) 2019/790</w:t>
      </w:r>
      <w:r w:rsidRPr="00153075">
        <w:rPr>
          <w:rFonts w:asciiTheme="minorHAnsi" w:hAnsiTheme="minorHAnsi" w:cstheme="minorHAnsi"/>
          <w:sz w:val="20"/>
        </w:rPr>
        <w:t>).</w:t>
      </w:r>
    </w:p>
    <w:p w14:paraId="32DF039C" w14:textId="012525FC"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shall not use, and we do not consent to the use of, our site, or any data published by, or contained in, or accessible via, our site or any services provided via, or in relation to, our site for the purposes of developing, training, fine-tuning or validating any AI system or model</w:t>
      </w:r>
      <w:r w:rsidR="002F33CF">
        <w:rPr>
          <w:rFonts w:asciiTheme="minorHAnsi" w:hAnsiTheme="minorHAnsi" w:cstheme="minorHAnsi"/>
          <w:sz w:val="20"/>
        </w:rPr>
        <w:t>.</w:t>
      </w:r>
    </w:p>
    <w:p w14:paraId="309A4034"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This clause will not apply insofar as (but only to the extent that) we are unable to exclude or limit text or data mining or web scraping activity by contract under the laws which are applicable to us.</w:t>
      </w:r>
    </w:p>
    <w:p w14:paraId="4B5FB6FC"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1" w:name="a619999"/>
      <w:r w:rsidRPr="00153075">
        <w:rPr>
          <w:rFonts w:asciiTheme="minorHAnsi" w:hAnsiTheme="minorHAnsi" w:cstheme="minorHAnsi"/>
          <w:sz w:val="20"/>
        </w:rPr>
        <w:t>Rules about linking to our site</w:t>
      </w:r>
      <w:bookmarkEnd w:id="11"/>
    </w:p>
    <w:p w14:paraId="7C6C47C3" w14:textId="26B5942E" w:rsidR="00C5253F" w:rsidRPr="00153075" w:rsidRDefault="00C5253F" w:rsidP="00D5631F">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may</w:t>
      </w:r>
      <w:r w:rsidR="00D5631F">
        <w:rPr>
          <w:rFonts w:asciiTheme="minorHAnsi" w:hAnsiTheme="minorHAnsi" w:cstheme="minorHAnsi"/>
          <w:sz w:val="20"/>
        </w:rPr>
        <w:t xml:space="preserve"> not</w:t>
      </w:r>
      <w:r w:rsidRPr="00153075">
        <w:rPr>
          <w:rFonts w:asciiTheme="minorHAnsi" w:hAnsiTheme="minorHAnsi" w:cstheme="minorHAnsi"/>
          <w:sz w:val="20"/>
        </w:rPr>
        <w:t xml:space="preserve"> link to our home page, </w:t>
      </w:r>
      <w:r w:rsidR="00D5631F">
        <w:rPr>
          <w:rFonts w:asciiTheme="minorHAnsi" w:hAnsiTheme="minorHAnsi" w:cstheme="minorHAnsi"/>
          <w:sz w:val="20"/>
        </w:rPr>
        <w:t xml:space="preserve">or any page of our website without our prior written approval. </w:t>
      </w:r>
    </w:p>
    <w:p w14:paraId="610A0BFC"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2" w:name="a559821"/>
      <w:r w:rsidRPr="00153075">
        <w:rPr>
          <w:rFonts w:asciiTheme="minorHAnsi" w:hAnsiTheme="minorHAnsi" w:cstheme="minorHAnsi"/>
          <w:sz w:val="20"/>
        </w:rPr>
        <w:t xml:space="preserve">Our </w:t>
      </w:r>
      <w:proofErr w:type="spellStart"/>
      <w:proofErr w:type="gramStart"/>
      <w:r w:rsidRPr="00153075">
        <w:rPr>
          <w:rFonts w:asciiTheme="minorHAnsi" w:hAnsiTheme="minorHAnsi" w:cstheme="minorHAnsi"/>
          <w:sz w:val="20"/>
        </w:rPr>
        <w:t>trade marks</w:t>
      </w:r>
      <w:proofErr w:type="spellEnd"/>
      <w:proofErr w:type="gramEnd"/>
      <w:r w:rsidRPr="00153075">
        <w:rPr>
          <w:rFonts w:asciiTheme="minorHAnsi" w:hAnsiTheme="minorHAnsi" w:cstheme="minorHAnsi"/>
          <w:sz w:val="20"/>
        </w:rPr>
        <w:t xml:space="preserve"> are registered</w:t>
      </w:r>
      <w:bookmarkEnd w:id="12"/>
    </w:p>
    <w:p w14:paraId="597A9E08" w14:textId="3BA4A5D8"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are not permitted to use them without our approval</w:t>
      </w:r>
      <w:r w:rsidR="0041732D">
        <w:rPr>
          <w:rFonts w:asciiTheme="minorHAnsi" w:hAnsiTheme="minorHAnsi" w:cstheme="minorHAnsi"/>
          <w:sz w:val="20"/>
        </w:rPr>
        <w:t>.</w:t>
      </w:r>
    </w:p>
    <w:p w14:paraId="10F73CAA"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3" w:name="a986618"/>
      <w:r w:rsidRPr="00153075">
        <w:rPr>
          <w:rFonts w:asciiTheme="minorHAnsi" w:hAnsiTheme="minorHAnsi" w:cstheme="minorHAnsi"/>
          <w:sz w:val="20"/>
        </w:rPr>
        <w:t>Do not rely on information on this site</w:t>
      </w:r>
      <w:bookmarkEnd w:id="13"/>
    </w:p>
    <w:p w14:paraId="77DEF33C"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The content on our site is provided for general information only. It is not intended to amount to advice on which you should rely. You must obtain professional or specialist advice before taking, or refraining from, any action </w:t>
      </w:r>
      <w:proofErr w:type="gramStart"/>
      <w:r w:rsidRPr="00153075">
        <w:rPr>
          <w:rFonts w:asciiTheme="minorHAnsi" w:hAnsiTheme="minorHAnsi" w:cstheme="minorHAnsi"/>
          <w:sz w:val="20"/>
        </w:rPr>
        <w:t>on the basis of</w:t>
      </w:r>
      <w:proofErr w:type="gramEnd"/>
      <w:r w:rsidRPr="00153075">
        <w:rPr>
          <w:rFonts w:asciiTheme="minorHAnsi" w:hAnsiTheme="minorHAnsi" w:cstheme="minorHAnsi"/>
          <w:sz w:val="20"/>
        </w:rPr>
        <w:t xml:space="preserve"> the content on our site.</w:t>
      </w:r>
    </w:p>
    <w:p w14:paraId="3F264ED1"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Although we make reasonable efforts to update the information on our site, we make no representations, warranties or guarantees, whether express or implied, that the content on our site is accurate, complete or up to date.</w:t>
      </w:r>
    </w:p>
    <w:p w14:paraId="3BAA71BB"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4" w:name="a712368"/>
      <w:r w:rsidRPr="00153075">
        <w:rPr>
          <w:rFonts w:asciiTheme="minorHAnsi" w:hAnsiTheme="minorHAnsi" w:cstheme="minorHAnsi"/>
          <w:sz w:val="20"/>
        </w:rPr>
        <w:lastRenderedPageBreak/>
        <w:t>We are not responsible for websites we link to</w:t>
      </w:r>
      <w:bookmarkEnd w:id="14"/>
    </w:p>
    <w:p w14:paraId="14D9E98E"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Where our site contains links to other sites and resources provided by third parties, these links are provided for your information only. Such links should not be interpreted as approval by us of those linked websites or information you may obtain from them.</w:t>
      </w:r>
    </w:p>
    <w:p w14:paraId="06E19F2B"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have no control over the contents of those sites or resources.</w:t>
      </w:r>
    </w:p>
    <w:p w14:paraId="18A3D90A"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5" w:name="a641544"/>
      <w:r w:rsidRPr="00153075">
        <w:rPr>
          <w:rFonts w:asciiTheme="minorHAnsi" w:hAnsiTheme="minorHAnsi" w:cstheme="minorHAnsi"/>
          <w:sz w:val="20"/>
        </w:rPr>
        <w:t>We are not responsible for viruses</w:t>
      </w:r>
      <w:bookmarkEnd w:id="15"/>
    </w:p>
    <w:p w14:paraId="60CA12BF"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We do not guarantee that our site will be secure or free from bugs or viruses.</w:t>
      </w:r>
    </w:p>
    <w:p w14:paraId="433E197B"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You are responsible for configuring your information technology, computer programs and platform to access our site. You should use your own virus protection software.</w:t>
      </w:r>
    </w:p>
    <w:p w14:paraId="40645355"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6" w:name="a523812"/>
      <w:r w:rsidRPr="00153075">
        <w:rPr>
          <w:rFonts w:asciiTheme="minorHAnsi" w:hAnsiTheme="minorHAnsi" w:cstheme="minorHAnsi"/>
          <w:sz w:val="20"/>
        </w:rPr>
        <w:t>You must not introduce viruses</w:t>
      </w:r>
      <w:bookmarkEnd w:id="16"/>
    </w:p>
    <w:p w14:paraId="63DDC0F0"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You must not misuse our site by knowingly introducing viruses, trojans, worms, logic bombs or other material that is malicious or technologically harmful, or otherwise harmfully interacting with our site or any part of it. You must not attempt to gain unauthorised access to our site, the server on which our site is stored or any server, computer or database connected to our site or any other equipment or network connected with our site. You must not interfere with, damage or disrupt any software used in the provision of our site or any equipment or network or software owned or used by any third party on which this site relies in any way. You must not attack our site via a denial-of-service attack or a distributed denial-of-service attack. By breaching this provision, you would commit a criminal offence under the Computer Misuse Act 1990. We will report any such breach to the relevant law enforcement </w:t>
      </w:r>
      <w:proofErr w:type="gramStart"/>
      <w:r w:rsidRPr="00153075">
        <w:rPr>
          <w:rFonts w:asciiTheme="minorHAnsi" w:hAnsiTheme="minorHAnsi" w:cstheme="minorHAnsi"/>
          <w:sz w:val="20"/>
        </w:rPr>
        <w:t>authorities</w:t>
      </w:r>
      <w:proofErr w:type="gramEnd"/>
      <w:r w:rsidRPr="00153075">
        <w:rPr>
          <w:rFonts w:asciiTheme="minorHAnsi" w:hAnsiTheme="minorHAnsi" w:cstheme="minorHAnsi"/>
          <w:sz w:val="20"/>
        </w:rPr>
        <w:t xml:space="preserve"> and we will co-operate with those authorities by disclosing your identity to them. In the event of such a breach, your right to use our site will cease immediately.</w:t>
      </w:r>
    </w:p>
    <w:p w14:paraId="4D3FA7F4"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7" w:name="a817008"/>
      <w:r w:rsidRPr="00153075">
        <w:rPr>
          <w:rFonts w:asciiTheme="minorHAnsi" w:hAnsiTheme="minorHAnsi" w:cstheme="minorHAnsi"/>
          <w:sz w:val="20"/>
        </w:rPr>
        <w:t>Our responsibility for loss or damage suffered by you</w:t>
      </w:r>
      <w:bookmarkEnd w:id="17"/>
    </w:p>
    <w:p w14:paraId="1E1B23A5" w14:textId="77777777" w:rsidR="00C5253F" w:rsidRPr="00153075" w:rsidRDefault="00C5253F" w:rsidP="00153075">
      <w:pPr>
        <w:pStyle w:val="ParaClause"/>
        <w:spacing w:line="240" w:lineRule="auto"/>
        <w:ind w:left="0"/>
        <w:rPr>
          <w:rFonts w:asciiTheme="minorHAnsi" w:hAnsiTheme="minorHAnsi" w:cstheme="minorHAnsi"/>
          <w:b/>
          <w:bCs/>
          <w:sz w:val="20"/>
        </w:rPr>
      </w:pPr>
      <w:r w:rsidRPr="00153075">
        <w:rPr>
          <w:rFonts w:asciiTheme="minorHAnsi" w:hAnsiTheme="minorHAnsi" w:cstheme="minorHAnsi"/>
          <w:b/>
          <w:bCs/>
          <w:sz w:val="20"/>
        </w:rPr>
        <w:t>Whether you are a consumer or a business user:</w:t>
      </w:r>
    </w:p>
    <w:p w14:paraId="123328EA" w14:textId="77777777" w:rsidR="00C5253F" w:rsidRPr="00153075" w:rsidRDefault="00C5253F" w:rsidP="00BB12C7">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We do not exclude or limit in any way our liability to you where it would be unlawful to do so. This includes liability for death or personal injury caused by our negligence or the negligence of our employees, agents or subcontractors and for fraud or fraudulent misrepresentation.</w:t>
      </w:r>
    </w:p>
    <w:p w14:paraId="4FB566C8" w14:textId="1187E421" w:rsidR="00C5253F" w:rsidRPr="00153075" w:rsidRDefault="00C5253F" w:rsidP="00BB12C7">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 xml:space="preserve">Different limitations and exclusions of liability will apply to liability arising </w:t>
      </w:r>
      <w:proofErr w:type="gramStart"/>
      <w:r w:rsidRPr="00153075">
        <w:rPr>
          <w:rFonts w:asciiTheme="minorHAnsi" w:hAnsiTheme="minorHAnsi" w:cstheme="minorHAnsi"/>
          <w:sz w:val="20"/>
        </w:rPr>
        <w:t>as a result of</w:t>
      </w:r>
      <w:proofErr w:type="gramEnd"/>
      <w:r w:rsidRPr="00153075">
        <w:rPr>
          <w:rFonts w:asciiTheme="minorHAnsi" w:hAnsiTheme="minorHAnsi" w:cstheme="minorHAnsi"/>
          <w:sz w:val="20"/>
        </w:rPr>
        <w:t xml:space="preserve"> the supply of any products to you, which will be set out in our Terms and Conditions of Supply.</w:t>
      </w:r>
    </w:p>
    <w:p w14:paraId="7D34F552" w14:textId="77777777" w:rsidR="00C5253F" w:rsidRPr="00153075" w:rsidRDefault="00C5253F" w:rsidP="00153075">
      <w:pPr>
        <w:pStyle w:val="ParaClause"/>
        <w:spacing w:line="240" w:lineRule="auto"/>
        <w:ind w:left="0"/>
        <w:rPr>
          <w:rFonts w:asciiTheme="minorHAnsi" w:hAnsiTheme="minorHAnsi" w:cstheme="minorHAnsi"/>
          <w:b/>
          <w:bCs/>
          <w:sz w:val="20"/>
        </w:rPr>
      </w:pPr>
      <w:r w:rsidRPr="00153075">
        <w:rPr>
          <w:rFonts w:asciiTheme="minorHAnsi" w:hAnsiTheme="minorHAnsi" w:cstheme="minorHAnsi"/>
          <w:b/>
          <w:bCs/>
          <w:sz w:val="20"/>
        </w:rPr>
        <w:t>If you are a business user:</w:t>
      </w:r>
    </w:p>
    <w:p w14:paraId="73B455DA" w14:textId="77777777" w:rsidR="00C5253F" w:rsidRPr="00153075" w:rsidRDefault="00C5253F" w:rsidP="00BB12C7">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We exclude all implied conditions, warranties, representations or other terms that may apply to our site or any content on it.</w:t>
      </w:r>
    </w:p>
    <w:p w14:paraId="684E9131" w14:textId="77777777" w:rsidR="00C5253F" w:rsidRPr="00153075" w:rsidRDefault="00C5253F" w:rsidP="00BB12C7">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t>We will not be liable to you for any loss or damage, whether in contract, tort (including negligence), breach of statutory duty, or otherwise, even if foreseeable, arising under or in connection with:</w:t>
      </w:r>
    </w:p>
    <w:p w14:paraId="2924EE87"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use of, or inability to use, our site; or</w:t>
      </w:r>
    </w:p>
    <w:p w14:paraId="08DF6FD6"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use of or reliance on any content displayed on our site.</w:t>
      </w:r>
    </w:p>
    <w:p w14:paraId="7ED22075" w14:textId="77777777" w:rsidR="00C5253F" w:rsidRPr="00153075" w:rsidRDefault="00C5253F" w:rsidP="00BB12C7">
      <w:pPr>
        <w:pStyle w:val="ClauseBullet1"/>
        <w:spacing w:line="240" w:lineRule="auto"/>
        <w:ind w:left="426"/>
        <w:outlineLvl w:val="9"/>
        <w:rPr>
          <w:rFonts w:asciiTheme="minorHAnsi" w:hAnsiTheme="minorHAnsi" w:cstheme="minorHAnsi"/>
          <w:sz w:val="20"/>
        </w:rPr>
      </w:pPr>
      <w:proofErr w:type="gramStart"/>
      <w:r w:rsidRPr="00153075">
        <w:rPr>
          <w:rFonts w:asciiTheme="minorHAnsi" w:hAnsiTheme="minorHAnsi" w:cstheme="minorHAnsi"/>
          <w:sz w:val="20"/>
        </w:rPr>
        <w:t>In particular, we</w:t>
      </w:r>
      <w:proofErr w:type="gramEnd"/>
      <w:r w:rsidRPr="00153075">
        <w:rPr>
          <w:rFonts w:asciiTheme="minorHAnsi" w:hAnsiTheme="minorHAnsi" w:cstheme="minorHAnsi"/>
          <w:sz w:val="20"/>
        </w:rPr>
        <w:t xml:space="preserve"> will not be liable for:</w:t>
      </w:r>
    </w:p>
    <w:p w14:paraId="5E341FCA"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loss of profits, sales, business, or revenue;</w:t>
      </w:r>
    </w:p>
    <w:p w14:paraId="10B468D2"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business interruption;</w:t>
      </w:r>
    </w:p>
    <w:p w14:paraId="7425EAFF"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loss of anticipated savings;</w:t>
      </w:r>
    </w:p>
    <w:p w14:paraId="6DB52701"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loss of business opportunity, goodwill or reputation; or</w:t>
      </w:r>
    </w:p>
    <w:p w14:paraId="59A640A1" w14:textId="77777777" w:rsidR="00C5253F" w:rsidRPr="00153075" w:rsidRDefault="00C5253F" w:rsidP="00BB12C7">
      <w:pPr>
        <w:pStyle w:val="ClauseBullet2"/>
        <w:spacing w:line="240" w:lineRule="auto"/>
        <w:ind w:left="426"/>
        <w:outlineLvl w:val="9"/>
        <w:rPr>
          <w:rFonts w:asciiTheme="minorHAnsi" w:hAnsiTheme="minorHAnsi" w:cstheme="minorHAnsi"/>
          <w:sz w:val="20"/>
        </w:rPr>
      </w:pPr>
      <w:r w:rsidRPr="00153075">
        <w:rPr>
          <w:rFonts w:asciiTheme="minorHAnsi" w:hAnsiTheme="minorHAnsi" w:cstheme="minorHAnsi"/>
          <w:sz w:val="20"/>
        </w:rPr>
        <w:t>any indirect or consequential loss or damage.</w:t>
      </w:r>
    </w:p>
    <w:p w14:paraId="5A0A56A6" w14:textId="77777777" w:rsidR="00C5253F" w:rsidRPr="00153075" w:rsidRDefault="00C5253F" w:rsidP="00153075">
      <w:pPr>
        <w:pStyle w:val="ParaClause"/>
        <w:spacing w:line="240" w:lineRule="auto"/>
        <w:ind w:left="0"/>
        <w:rPr>
          <w:rFonts w:asciiTheme="minorHAnsi" w:hAnsiTheme="minorHAnsi" w:cstheme="minorHAnsi"/>
          <w:b/>
          <w:bCs/>
          <w:sz w:val="20"/>
        </w:rPr>
      </w:pPr>
      <w:r w:rsidRPr="00153075">
        <w:rPr>
          <w:rFonts w:asciiTheme="minorHAnsi" w:hAnsiTheme="minorHAnsi" w:cstheme="minorHAnsi"/>
          <w:b/>
          <w:bCs/>
          <w:sz w:val="20"/>
        </w:rPr>
        <w:t>If you are a consumer user:</w:t>
      </w:r>
    </w:p>
    <w:p w14:paraId="59AB094D" w14:textId="77777777" w:rsidR="00C5253F" w:rsidRPr="00153075" w:rsidRDefault="00C5253F" w:rsidP="005B53EF">
      <w:pPr>
        <w:pStyle w:val="ClauseBullet1"/>
        <w:spacing w:line="240" w:lineRule="auto"/>
        <w:ind w:left="426"/>
        <w:outlineLvl w:val="9"/>
        <w:rPr>
          <w:rFonts w:asciiTheme="minorHAnsi" w:hAnsiTheme="minorHAnsi" w:cstheme="minorHAnsi"/>
          <w:sz w:val="20"/>
        </w:rPr>
      </w:pPr>
      <w:r w:rsidRPr="00153075">
        <w:rPr>
          <w:rFonts w:asciiTheme="minorHAnsi" w:hAnsiTheme="minorHAnsi" w:cstheme="minorHAnsi"/>
          <w:sz w:val="20"/>
        </w:rPr>
        <w:lastRenderedPageBreak/>
        <w:t>We only provide our site for domestic and private use. You agree not to use our site for any commercial or business purposes, and we have no liability to you for any loss of profit, loss of business, business interruption, or loss of business opportunity.</w:t>
      </w:r>
    </w:p>
    <w:p w14:paraId="1190B780" w14:textId="2A4B89BE" w:rsidR="00C5253F" w:rsidRPr="00153075" w:rsidRDefault="00C5253F" w:rsidP="005B53EF">
      <w:pPr>
        <w:pStyle w:val="ClauseBullet1"/>
        <w:spacing w:line="240" w:lineRule="auto"/>
        <w:ind w:left="426" w:hanging="360"/>
        <w:outlineLvl w:val="9"/>
        <w:rPr>
          <w:rFonts w:asciiTheme="minorHAnsi" w:hAnsiTheme="minorHAnsi" w:cstheme="minorHAnsi"/>
          <w:sz w:val="20"/>
        </w:rPr>
      </w:pPr>
      <w:r w:rsidRPr="00153075">
        <w:rPr>
          <w:rFonts w:asciiTheme="minorHAnsi" w:hAnsiTheme="minorHAnsi" w:cstheme="minorHAnsi"/>
          <w:sz w:val="20"/>
        </w:rPr>
        <w:t>If defective digital content that we have supplied damages a device or digital content belonging to you and this is caused by our failure to use reasonable care and skill, we will either repair the damage or pay you compensation. However, we will not be liable for damage that you could have avoided by following our advice to apply an update offered to you free of charge or for damage that was caused by you failing to correctly follow installation instructions or to have in place the minimum system requirements advised by us.</w:t>
      </w:r>
    </w:p>
    <w:p w14:paraId="77DC6BE2" w14:textId="77777777" w:rsidR="00C5253F" w:rsidRPr="00153075" w:rsidRDefault="00C5253F" w:rsidP="00153075">
      <w:pPr>
        <w:pStyle w:val="NoNumTitlesubclause1"/>
        <w:spacing w:line="240" w:lineRule="auto"/>
        <w:ind w:left="0"/>
        <w:outlineLvl w:val="9"/>
        <w:rPr>
          <w:rFonts w:asciiTheme="minorHAnsi" w:hAnsiTheme="minorHAnsi" w:cstheme="minorHAnsi"/>
          <w:sz w:val="20"/>
        </w:rPr>
      </w:pPr>
      <w:bookmarkStart w:id="18" w:name="a689583"/>
      <w:r w:rsidRPr="00153075">
        <w:rPr>
          <w:rFonts w:asciiTheme="minorHAnsi" w:hAnsiTheme="minorHAnsi" w:cstheme="minorHAnsi"/>
          <w:sz w:val="20"/>
        </w:rPr>
        <w:t>How we may use your personal information</w:t>
      </w:r>
      <w:bookmarkEnd w:id="18"/>
    </w:p>
    <w:p w14:paraId="5E23BAC1" w14:textId="005A49B5"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We will only use your personal information as set out in </w:t>
      </w:r>
      <w:hyperlink r:id="rId13" w:history="1">
        <w:proofErr w:type="gramStart"/>
        <w:r w:rsidRPr="00191354">
          <w:rPr>
            <w:rStyle w:val="Hyperlink"/>
            <w:rFonts w:asciiTheme="minorHAnsi" w:hAnsiTheme="minorHAnsi" w:cstheme="minorHAnsi"/>
            <w:sz w:val="20"/>
          </w:rPr>
          <w:t xml:space="preserve">our </w:t>
        </w:r>
        <w:r w:rsidR="00191354" w:rsidRPr="00191354">
          <w:rPr>
            <w:rStyle w:val="Hyperlink"/>
            <w:rFonts w:asciiTheme="minorHAnsi" w:hAnsiTheme="minorHAnsi" w:cstheme="minorHAnsi"/>
            <w:sz w:val="20"/>
          </w:rPr>
          <w:t xml:space="preserve"> Privacy</w:t>
        </w:r>
        <w:proofErr w:type="gramEnd"/>
        <w:r w:rsidR="00191354" w:rsidRPr="00191354">
          <w:rPr>
            <w:rStyle w:val="Hyperlink"/>
            <w:rFonts w:asciiTheme="minorHAnsi" w:hAnsiTheme="minorHAnsi" w:cstheme="minorHAnsi"/>
            <w:sz w:val="20"/>
          </w:rPr>
          <w:t xml:space="preserve"> Policy</w:t>
        </w:r>
      </w:hyperlink>
      <w:r w:rsidR="00191354">
        <w:rPr>
          <w:rFonts w:asciiTheme="minorHAnsi" w:hAnsiTheme="minorHAnsi" w:cstheme="minorHAnsi"/>
          <w:sz w:val="20"/>
        </w:rPr>
        <w:t xml:space="preserve"> on our website enjoytheview.co.uk.</w:t>
      </w:r>
    </w:p>
    <w:p w14:paraId="1BC06F7B" w14:textId="77777777" w:rsidR="00C5253F" w:rsidRPr="00153075" w:rsidRDefault="00C5253F" w:rsidP="00153075">
      <w:pPr>
        <w:pStyle w:val="NoNumTitle-Clause"/>
        <w:spacing w:line="240" w:lineRule="auto"/>
        <w:ind w:left="0"/>
        <w:outlineLvl w:val="9"/>
        <w:rPr>
          <w:rFonts w:asciiTheme="minorHAnsi" w:hAnsiTheme="minorHAnsi" w:cstheme="minorHAnsi"/>
          <w:sz w:val="20"/>
        </w:rPr>
      </w:pPr>
      <w:bookmarkStart w:id="19" w:name="a628506"/>
      <w:r w:rsidRPr="00153075">
        <w:rPr>
          <w:rFonts w:asciiTheme="minorHAnsi" w:hAnsiTheme="minorHAnsi" w:cstheme="minorHAnsi"/>
          <w:sz w:val="20"/>
        </w:rPr>
        <w:t>Which country's laws apply to a dispute</w:t>
      </w:r>
      <w:bookmarkEnd w:id="19"/>
    </w:p>
    <w:p w14:paraId="408194B4"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 xml:space="preserve">If you are a consumer, please note that these terms of service, their subject matter and their formation, are governed by English law. We both agree that the courts of England and Wales will have exclusive jurisdiction, except that if you are a resident of Northern </w:t>
      </w:r>
      <w:proofErr w:type="gramStart"/>
      <w:r w:rsidRPr="00153075">
        <w:rPr>
          <w:rFonts w:asciiTheme="minorHAnsi" w:hAnsiTheme="minorHAnsi" w:cstheme="minorHAnsi"/>
          <w:sz w:val="20"/>
        </w:rPr>
        <w:t>Ireland</w:t>
      </w:r>
      <w:proofErr w:type="gramEnd"/>
      <w:r w:rsidRPr="00153075">
        <w:rPr>
          <w:rFonts w:asciiTheme="minorHAnsi" w:hAnsiTheme="minorHAnsi" w:cstheme="minorHAnsi"/>
          <w:sz w:val="20"/>
        </w:rPr>
        <w:t xml:space="preserve"> you may also bring proceedings in Northern Ireland, and if you are a resident of Scotland, you may also bring proceedings in Scotland.</w:t>
      </w:r>
    </w:p>
    <w:p w14:paraId="4632A11F" w14:textId="77777777" w:rsidR="00C5253F" w:rsidRPr="00153075" w:rsidRDefault="00C5253F" w:rsidP="00153075">
      <w:pPr>
        <w:pStyle w:val="ParaClause"/>
        <w:spacing w:line="240" w:lineRule="auto"/>
        <w:ind w:left="0"/>
        <w:rPr>
          <w:rFonts w:asciiTheme="minorHAnsi" w:hAnsiTheme="minorHAnsi" w:cstheme="minorHAnsi"/>
          <w:sz w:val="20"/>
        </w:rPr>
      </w:pPr>
      <w:r w:rsidRPr="00153075">
        <w:rPr>
          <w:rFonts w:asciiTheme="minorHAnsi" w:hAnsiTheme="minorHAnsi" w:cstheme="minorHAnsi"/>
          <w:sz w:val="20"/>
        </w:rPr>
        <w:t>If you are a business, these terms of service, their subject matter and their formation (and any non-contractual disputes or claims) are governed by English law. We both agree to the exclusive jurisdiction of the courts of England and Wales.</w:t>
      </w:r>
    </w:p>
    <w:sectPr w:rsidR="00C5253F" w:rsidRPr="00153075" w:rsidSect="0010484B">
      <w:footerReference w:type="defaul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E98204" w14:textId="77777777" w:rsidR="006A1464" w:rsidRDefault="006A1464">
      <w:pPr>
        <w:spacing w:after="0" w:line="240" w:lineRule="auto"/>
      </w:pPr>
      <w:r>
        <w:separator/>
      </w:r>
    </w:p>
  </w:endnote>
  <w:endnote w:type="continuationSeparator" w:id="0">
    <w:p w14:paraId="3096E2CD" w14:textId="77777777" w:rsidR="006A1464" w:rsidRDefault="006A1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7517B7" w14:textId="77777777" w:rsidR="00837FEB" w:rsidRDefault="00C5253F">
    <w:pPr>
      <w:jc w:val="center"/>
    </w:pPr>
    <w:r>
      <w:fldChar w:fldCharType="begin"/>
    </w:r>
    <w:r>
      <w:instrText>PAGE</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83916A" w14:textId="77777777" w:rsidR="006A1464" w:rsidRDefault="006A1464">
      <w:pPr>
        <w:spacing w:after="0" w:line="240" w:lineRule="auto"/>
      </w:pPr>
      <w:r>
        <w:separator/>
      </w:r>
    </w:p>
  </w:footnote>
  <w:footnote w:type="continuationSeparator" w:id="0">
    <w:p w14:paraId="416F4C28" w14:textId="77777777" w:rsidR="006A1464" w:rsidRDefault="006A1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317606BC">
      <w:start w:val="1"/>
      <w:numFmt w:val="bullet"/>
      <w:pStyle w:val="DefinedTermBullet"/>
      <w:lvlText w:val=""/>
      <w:lvlJc w:val="left"/>
      <w:pPr>
        <w:ind w:left="1440" w:hanging="360"/>
      </w:pPr>
      <w:rPr>
        <w:rFonts w:ascii="Symbol" w:hAnsi="Symbol" w:hint="default"/>
        <w:color w:val="000000"/>
      </w:rPr>
    </w:lvl>
    <w:lvl w:ilvl="1" w:tplc="B38EDCBC" w:tentative="1">
      <w:start w:val="1"/>
      <w:numFmt w:val="bullet"/>
      <w:lvlText w:val="o"/>
      <w:lvlJc w:val="left"/>
      <w:pPr>
        <w:ind w:left="2160" w:hanging="360"/>
      </w:pPr>
      <w:rPr>
        <w:rFonts w:ascii="Courier New" w:hAnsi="Courier New" w:cs="Courier New" w:hint="default"/>
      </w:rPr>
    </w:lvl>
    <w:lvl w:ilvl="2" w:tplc="A6DE04A0" w:tentative="1">
      <w:start w:val="1"/>
      <w:numFmt w:val="bullet"/>
      <w:lvlText w:val=""/>
      <w:lvlJc w:val="left"/>
      <w:pPr>
        <w:ind w:left="2880" w:hanging="360"/>
      </w:pPr>
      <w:rPr>
        <w:rFonts w:ascii="Wingdings" w:hAnsi="Wingdings" w:hint="default"/>
      </w:rPr>
    </w:lvl>
    <w:lvl w:ilvl="3" w:tplc="BEB4BAE6" w:tentative="1">
      <w:start w:val="1"/>
      <w:numFmt w:val="bullet"/>
      <w:lvlText w:val=""/>
      <w:lvlJc w:val="left"/>
      <w:pPr>
        <w:ind w:left="3600" w:hanging="360"/>
      </w:pPr>
      <w:rPr>
        <w:rFonts w:ascii="Symbol" w:hAnsi="Symbol" w:hint="default"/>
      </w:rPr>
    </w:lvl>
    <w:lvl w:ilvl="4" w:tplc="B986E882" w:tentative="1">
      <w:start w:val="1"/>
      <w:numFmt w:val="bullet"/>
      <w:lvlText w:val="o"/>
      <w:lvlJc w:val="left"/>
      <w:pPr>
        <w:ind w:left="4320" w:hanging="360"/>
      </w:pPr>
      <w:rPr>
        <w:rFonts w:ascii="Courier New" w:hAnsi="Courier New" w:cs="Courier New" w:hint="default"/>
      </w:rPr>
    </w:lvl>
    <w:lvl w:ilvl="5" w:tplc="55D8BDA2" w:tentative="1">
      <w:start w:val="1"/>
      <w:numFmt w:val="bullet"/>
      <w:lvlText w:val=""/>
      <w:lvlJc w:val="left"/>
      <w:pPr>
        <w:ind w:left="5040" w:hanging="360"/>
      </w:pPr>
      <w:rPr>
        <w:rFonts w:ascii="Wingdings" w:hAnsi="Wingdings" w:hint="default"/>
      </w:rPr>
    </w:lvl>
    <w:lvl w:ilvl="6" w:tplc="86445732" w:tentative="1">
      <w:start w:val="1"/>
      <w:numFmt w:val="bullet"/>
      <w:lvlText w:val=""/>
      <w:lvlJc w:val="left"/>
      <w:pPr>
        <w:ind w:left="5760" w:hanging="360"/>
      </w:pPr>
      <w:rPr>
        <w:rFonts w:ascii="Symbol" w:hAnsi="Symbol" w:hint="default"/>
      </w:rPr>
    </w:lvl>
    <w:lvl w:ilvl="7" w:tplc="82FA1BF6" w:tentative="1">
      <w:start w:val="1"/>
      <w:numFmt w:val="bullet"/>
      <w:lvlText w:val="o"/>
      <w:lvlJc w:val="left"/>
      <w:pPr>
        <w:ind w:left="6480" w:hanging="360"/>
      </w:pPr>
      <w:rPr>
        <w:rFonts w:ascii="Courier New" w:hAnsi="Courier New" w:cs="Courier New" w:hint="default"/>
      </w:rPr>
    </w:lvl>
    <w:lvl w:ilvl="8" w:tplc="0396F484"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E82F3A"/>
    <w:multiLevelType w:val="hybridMultilevel"/>
    <w:tmpl w:val="1DF80854"/>
    <w:lvl w:ilvl="0" w:tplc="FD88EFBA">
      <w:start w:val="1"/>
      <w:numFmt w:val="decimal"/>
      <w:pStyle w:val="ScheduleHeading-Single"/>
      <w:lvlText w:val="Schedule"/>
      <w:lvlJc w:val="left"/>
      <w:pPr>
        <w:tabs>
          <w:tab w:val="num" w:pos="720"/>
        </w:tabs>
        <w:ind w:left="720" w:hanging="720"/>
      </w:pPr>
      <w:rPr>
        <w:color w:val="000000"/>
      </w:rPr>
    </w:lvl>
    <w:lvl w:ilvl="1" w:tplc="6DB409CA" w:tentative="1">
      <w:start w:val="1"/>
      <w:numFmt w:val="lowerLetter"/>
      <w:lvlText w:val="%2."/>
      <w:lvlJc w:val="left"/>
      <w:pPr>
        <w:tabs>
          <w:tab w:val="num" w:pos="1440"/>
        </w:tabs>
        <w:ind w:left="1440" w:hanging="360"/>
      </w:pPr>
    </w:lvl>
    <w:lvl w:ilvl="2" w:tplc="0538A0F8" w:tentative="1">
      <w:start w:val="1"/>
      <w:numFmt w:val="lowerRoman"/>
      <w:lvlText w:val="%3."/>
      <w:lvlJc w:val="right"/>
      <w:pPr>
        <w:tabs>
          <w:tab w:val="num" w:pos="2160"/>
        </w:tabs>
        <w:ind w:left="2160" w:hanging="180"/>
      </w:pPr>
    </w:lvl>
    <w:lvl w:ilvl="3" w:tplc="DE526EE2" w:tentative="1">
      <w:start w:val="1"/>
      <w:numFmt w:val="decimal"/>
      <w:lvlText w:val="%4."/>
      <w:lvlJc w:val="left"/>
      <w:pPr>
        <w:tabs>
          <w:tab w:val="num" w:pos="2880"/>
        </w:tabs>
        <w:ind w:left="2880" w:hanging="360"/>
      </w:pPr>
    </w:lvl>
    <w:lvl w:ilvl="4" w:tplc="61F8001A" w:tentative="1">
      <w:start w:val="1"/>
      <w:numFmt w:val="lowerLetter"/>
      <w:lvlText w:val="%5."/>
      <w:lvlJc w:val="left"/>
      <w:pPr>
        <w:tabs>
          <w:tab w:val="num" w:pos="3600"/>
        </w:tabs>
        <w:ind w:left="3600" w:hanging="360"/>
      </w:pPr>
    </w:lvl>
    <w:lvl w:ilvl="5" w:tplc="33103E64" w:tentative="1">
      <w:start w:val="1"/>
      <w:numFmt w:val="lowerRoman"/>
      <w:lvlText w:val="%6."/>
      <w:lvlJc w:val="right"/>
      <w:pPr>
        <w:tabs>
          <w:tab w:val="num" w:pos="4320"/>
        </w:tabs>
        <w:ind w:left="4320" w:hanging="180"/>
      </w:pPr>
    </w:lvl>
    <w:lvl w:ilvl="6" w:tplc="CB840C8E" w:tentative="1">
      <w:start w:val="1"/>
      <w:numFmt w:val="decimal"/>
      <w:lvlText w:val="%7."/>
      <w:lvlJc w:val="left"/>
      <w:pPr>
        <w:tabs>
          <w:tab w:val="num" w:pos="5040"/>
        </w:tabs>
        <w:ind w:left="5040" w:hanging="360"/>
      </w:pPr>
    </w:lvl>
    <w:lvl w:ilvl="7" w:tplc="FB2ED554" w:tentative="1">
      <w:start w:val="1"/>
      <w:numFmt w:val="lowerLetter"/>
      <w:lvlText w:val="%8."/>
      <w:lvlJc w:val="left"/>
      <w:pPr>
        <w:tabs>
          <w:tab w:val="num" w:pos="5760"/>
        </w:tabs>
        <w:ind w:left="5760" w:hanging="360"/>
      </w:pPr>
    </w:lvl>
    <w:lvl w:ilvl="8" w:tplc="847C2F1A" w:tentative="1">
      <w:start w:val="1"/>
      <w:numFmt w:val="lowerRoman"/>
      <w:lvlText w:val="%9."/>
      <w:lvlJc w:val="right"/>
      <w:pPr>
        <w:tabs>
          <w:tab w:val="num" w:pos="6480"/>
        </w:tabs>
        <w:ind w:left="6480" w:hanging="180"/>
      </w:pPr>
    </w:lvl>
  </w:abstractNum>
  <w:abstractNum w:abstractNumId="4" w15:restartNumberingAfterBreak="0">
    <w:nsid w:val="25B00E4C"/>
    <w:multiLevelType w:val="hybridMultilevel"/>
    <w:tmpl w:val="97C4AA26"/>
    <w:lvl w:ilvl="0" w:tplc="44524AB0">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91FC15DE" w:tentative="1">
      <w:start w:val="1"/>
      <w:numFmt w:val="lowerLetter"/>
      <w:lvlText w:val="%2."/>
      <w:lvlJc w:val="left"/>
      <w:pPr>
        <w:ind w:left="1440" w:hanging="360"/>
      </w:pPr>
    </w:lvl>
    <w:lvl w:ilvl="2" w:tplc="6EA2C7A4" w:tentative="1">
      <w:start w:val="1"/>
      <w:numFmt w:val="lowerRoman"/>
      <w:lvlText w:val="%3."/>
      <w:lvlJc w:val="right"/>
      <w:pPr>
        <w:ind w:left="2160" w:hanging="180"/>
      </w:pPr>
    </w:lvl>
    <w:lvl w:ilvl="3" w:tplc="7E0ABB4A" w:tentative="1">
      <w:start w:val="1"/>
      <w:numFmt w:val="decimal"/>
      <w:lvlText w:val="%4."/>
      <w:lvlJc w:val="left"/>
      <w:pPr>
        <w:ind w:left="2880" w:hanging="360"/>
      </w:pPr>
    </w:lvl>
    <w:lvl w:ilvl="4" w:tplc="81D09A58" w:tentative="1">
      <w:start w:val="1"/>
      <w:numFmt w:val="lowerLetter"/>
      <w:lvlText w:val="%5."/>
      <w:lvlJc w:val="left"/>
      <w:pPr>
        <w:ind w:left="3600" w:hanging="360"/>
      </w:pPr>
    </w:lvl>
    <w:lvl w:ilvl="5" w:tplc="999A4EF2" w:tentative="1">
      <w:start w:val="1"/>
      <w:numFmt w:val="lowerRoman"/>
      <w:lvlText w:val="%6."/>
      <w:lvlJc w:val="right"/>
      <w:pPr>
        <w:ind w:left="4320" w:hanging="180"/>
      </w:pPr>
    </w:lvl>
    <w:lvl w:ilvl="6" w:tplc="F24CD32A" w:tentative="1">
      <w:start w:val="1"/>
      <w:numFmt w:val="decimal"/>
      <w:lvlText w:val="%7."/>
      <w:lvlJc w:val="left"/>
      <w:pPr>
        <w:ind w:left="5040" w:hanging="360"/>
      </w:pPr>
    </w:lvl>
    <w:lvl w:ilvl="7" w:tplc="6E0415FE" w:tentative="1">
      <w:start w:val="1"/>
      <w:numFmt w:val="lowerLetter"/>
      <w:lvlText w:val="%8."/>
      <w:lvlJc w:val="left"/>
      <w:pPr>
        <w:ind w:left="5760" w:hanging="360"/>
      </w:pPr>
    </w:lvl>
    <w:lvl w:ilvl="8" w:tplc="00A048EE" w:tentative="1">
      <w:start w:val="1"/>
      <w:numFmt w:val="lowerRoman"/>
      <w:lvlText w:val="%9."/>
      <w:lvlJc w:val="right"/>
      <w:pPr>
        <w:ind w:left="6480" w:hanging="180"/>
      </w:pPr>
    </w:lvl>
  </w:abstractNum>
  <w:abstractNum w:abstractNumId="5" w15:restartNumberingAfterBreak="0">
    <w:nsid w:val="29C94F29"/>
    <w:multiLevelType w:val="hybridMultilevel"/>
    <w:tmpl w:val="4CBC2A34"/>
    <w:lvl w:ilvl="0" w:tplc="739C9C26">
      <w:start w:val="1"/>
      <w:numFmt w:val="decimal"/>
      <w:pStyle w:val="QuestionParagraph"/>
      <w:lvlText w:val="%1."/>
      <w:lvlJc w:val="left"/>
      <w:pPr>
        <w:ind w:left="720" w:hanging="360"/>
      </w:pPr>
      <w:rPr>
        <w:color w:val="000000"/>
      </w:rPr>
    </w:lvl>
    <w:lvl w:ilvl="1" w:tplc="CF98BA4A" w:tentative="1">
      <w:start w:val="1"/>
      <w:numFmt w:val="lowerLetter"/>
      <w:lvlText w:val="%2."/>
      <w:lvlJc w:val="left"/>
      <w:pPr>
        <w:ind w:left="1440" w:hanging="360"/>
      </w:pPr>
    </w:lvl>
    <w:lvl w:ilvl="2" w:tplc="24680DD4" w:tentative="1">
      <w:start w:val="1"/>
      <w:numFmt w:val="lowerRoman"/>
      <w:lvlText w:val="%3."/>
      <w:lvlJc w:val="right"/>
      <w:pPr>
        <w:ind w:left="2160" w:hanging="180"/>
      </w:pPr>
    </w:lvl>
    <w:lvl w:ilvl="3" w:tplc="BE76453C" w:tentative="1">
      <w:start w:val="1"/>
      <w:numFmt w:val="decimal"/>
      <w:lvlText w:val="%4."/>
      <w:lvlJc w:val="left"/>
      <w:pPr>
        <w:ind w:left="2880" w:hanging="360"/>
      </w:pPr>
    </w:lvl>
    <w:lvl w:ilvl="4" w:tplc="8736ACD0" w:tentative="1">
      <w:start w:val="1"/>
      <w:numFmt w:val="lowerLetter"/>
      <w:lvlText w:val="%5."/>
      <w:lvlJc w:val="left"/>
      <w:pPr>
        <w:ind w:left="3600" w:hanging="360"/>
      </w:pPr>
    </w:lvl>
    <w:lvl w:ilvl="5" w:tplc="151E8614" w:tentative="1">
      <w:start w:val="1"/>
      <w:numFmt w:val="lowerRoman"/>
      <w:lvlText w:val="%6."/>
      <w:lvlJc w:val="right"/>
      <w:pPr>
        <w:ind w:left="4320" w:hanging="180"/>
      </w:pPr>
    </w:lvl>
    <w:lvl w:ilvl="6" w:tplc="5008C71C" w:tentative="1">
      <w:start w:val="1"/>
      <w:numFmt w:val="decimal"/>
      <w:lvlText w:val="%7."/>
      <w:lvlJc w:val="left"/>
      <w:pPr>
        <w:ind w:left="5040" w:hanging="360"/>
      </w:pPr>
    </w:lvl>
    <w:lvl w:ilvl="7" w:tplc="38860000" w:tentative="1">
      <w:start w:val="1"/>
      <w:numFmt w:val="lowerLetter"/>
      <w:lvlText w:val="%8."/>
      <w:lvlJc w:val="left"/>
      <w:pPr>
        <w:ind w:left="5760" w:hanging="360"/>
      </w:pPr>
    </w:lvl>
    <w:lvl w:ilvl="8" w:tplc="57D601C0" w:tentative="1">
      <w:start w:val="1"/>
      <w:numFmt w:val="lowerRoman"/>
      <w:lvlText w:val="%9."/>
      <w:lvlJc w:val="right"/>
      <w:pPr>
        <w:ind w:left="6480" w:hanging="180"/>
      </w:pPr>
    </w:lvl>
  </w:abstractNum>
  <w:abstractNum w:abstractNumId="6" w15:restartNumberingAfterBreak="0">
    <w:nsid w:val="310416CA"/>
    <w:multiLevelType w:val="hybridMultilevel"/>
    <w:tmpl w:val="072EDEC8"/>
    <w:lvl w:ilvl="0" w:tplc="40464DE8">
      <w:start w:val="1"/>
      <w:numFmt w:val="bullet"/>
      <w:pStyle w:val="subclause2Bullet2"/>
      <w:lvlText w:val=""/>
      <w:lvlJc w:val="left"/>
      <w:pPr>
        <w:ind w:left="2279" w:hanging="360"/>
      </w:pPr>
      <w:rPr>
        <w:rFonts w:ascii="Symbol" w:hAnsi="Symbol" w:hint="default"/>
        <w:color w:val="000000"/>
      </w:rPr>
    </w:lvl>
    <w:lvl w:ilvl="1" w:tplc="362A3620" w:tentative="1">
      <w:start w:val="1"/>
      <w:numFmt w:val="bullet"/>
      <w:lvlText w:val="o"/>
      <w:lvlJc w:val="left"/>
      <w:pPr>
        <w:ind w:left="2999" w:hanging="360"/>
      </w:pPr>
      <w:rPr>
        <w:rFonts w:ascii="Courier New" w:hAnsi="Courier New" w:cs="Courier New" w:hint="default"/>
      </w:rPr>
    </w:lvl>
    <w:lvl w:ilvl="2" w:tplc="BFC47268" w:tentative="1">
      <w:start w:val="1"/>
      <w:numFmt w:val="bullet"/>
      <w:lvlText w:val=""/>
      <w:lvlJc w:val="left"/>
      <w:pPr>
        <w:ind w:left="3719" w:hanging="360"/>
      </w:pPr>
      <w:rPr>
        <w:rFonts w:ascii="Wingdings" w:hAnsi="Wingdings" w:hint="default"/>
      </w:rPr>
    </w:lvl>
    <w:lvl w:ilvl="3" w:tplc="A3E8A8D2" w:tentative="1">
      <w:start w:val="1"/>
      <w:numFmt w:val="bullet"/>
      <w:lvlText w:val=""/>
      <w:lvlJc w:val="left"/>
      <w:pPr>
        <w:ind w:left="4439" w:hanging="360"/>
      </w:pPr>
      <w:rPr>
        <w:rFonts w:ascii="Symbol" w:hAnsi="Symbol" w:hint="default"/>
      </w:rPr>
    </w:lvl>
    <w:lvl w:ilvl="4" w:tplc="1EA4FC7C" w:tentative="1">
      <w:start w:val="1"/>
      <w:numFmt w:val="bullet"/>
      <w:lvlText w:val="o"/>
      <w:lvlJc w:val="left"/>
      <w:pPr>
        <w:ind w:left="5159" w:hanging="360"/>
      </w:pPr>
      <w:rPr>
        <w:rFonts w:ascii="Courier New" w:hAnsi="Courier New" w:cs="Courier New" w:hint="default"/>
      </w:rPr>
    </w:lvl>
    <w:lvl w:ilvl="5" w:tplc="D03E6738" w:tentative="1">
      <w:start w:val="1"/>
      <w:numFmt w:val="bullet"/>
      <w:lvlText w:val=""/>
      <w:lvlJc w:val="left"/>
      <w:pPr>
        <w:ind w:left="5879" w:hanging="360"/>
      </w:pPr>
      <w:rPr>
        <w:rFonts w:ascii="Wingdings" w:hAnsi="Wingdings" w:hint="default"/>
      </w:rPr>
    </w:lvl>
    <w:lvl w:ilvl="6" w:tplc="479C83B4" w:tentative="1">
      <w:start w:val="1"/>
      <w:numFmt w:val="bullet"/>
      <w:lvlText w:val=""/>
      <w:lvlJc w:val="left"/>
      <w:pPr>
        <w:ind w:left="6599" w:hanging="360"/>
      </w:pPr>
      <w:rPr>
        <w:rFonts w:ascii="Symbol" w:hAnsi="Symbol" w:hint="default"/>
      </w:rPr>
    </w:lvl>
    <w:lvl w:ilvl="7" w:tplc="27F078BE" w:tentative="1">
      <w:start w:val="1"/>
      <w:numFmt w:val="bullet"/>
      <w:lvlText w:val="o"/>
      <w:lvlJc w:val="left"/>
      <w:pPr>
        <w:ind w:left="7319" w:hanging="360"/>
      </w:pPr>
      <w:rPr>
        <w:rFonts w:ascii="Courier New" w:hAnsi="Courier New" w:cs="Courier New" w:hint="default"/>
      </w:rPr>
    </w:lvl>
    <w:lvl w:ilvl="8" w:tplc="A0BCFA42" w:tentative="1">
      <w:start w:val="1"/>
      <w:numFmt w:val="bullet"/>
      <w:lvlText w:val=""/>
      <w:lvlJc w:val="left"/>
      <w:pPr>
        <w:ind w:left="8039" w:hanging="360"/>
      </w:pPr>
      <w:rPr>
        <w:rFonts w:ascii="Wingdings" w:hAnsi="Wingdings" w:hint="default"/>
      </w:rPr>
    </w:lvl>
  </w:abstractNum>
  <w:abstractNum w:abstractNumId="7" w15:restartNumberingAfterBreak="0">
    <w:nsid w:val="31E9741F"/>
    <w:multiLevelType w:val="hybridMultilevel"/>
    <w:tmpl w:val="0CAC7D4E"/>
    <w:lvl w:ilvl="0" w:tplc="ADC8580A">
      <w:start w:val="1"/>
      <w:numFmt w:val="bullet"/>
      <w:pStyle w:val="BulletList2"/>
      <w:lvlText w:val=""/>
      <w:lvlJc w:val="left"/>
      <w:pPr>
        <w:tabs>
          <w:tab w:val="num" w:pos="1077"/>
        </w:tabs>
        <w:ind w:left="1077" w:hanging="357"/>
      </w:pPr>
      <w:rPr>
        <w:rFonts w:ascii="Symbol" w:hAnsi="Symbol" w:hint="default"/>
        <w:color w:val="000000"/>
      </w:rPr>
    </w:lvl>
    <w:lvl w:ilvl="1" w:tplc="10B663E0" w:tentative="1">
      <w:start w:val="1"/>
      <w:numFmt w:val="bullet"/>
      <w:lvlText w:val="o"/>
      <w:lvlJc w:val="left"/>
      <w:pPr>
        <w:tabs>
          <w:tab w:val="num" w:pos="1440"/>
        </w:tabs>
        <w:ind w:left="1440" w:hanging="360"/>
      </w:pPr>
      <w:rPr>
        <w:rFonts w:ascii="Courier New" w:hAnsi="Courier New" w:cs="Courier New" w:hint="default"/>
      </w:rPr>
    </w:lvl>
    <w:lvl w:ilvl="2" w:tplc="23D066DE" w:tentative="1">
      <w:start w:val="1"/>
      <w:numFmt w:val="bullet"/>
      <w:lvlText w:val=""/>
      <w:lvlJc w:val="left"/>
      <w:pPr>
        <w:tabs>
          <w:tab w:val="num" w:pos="2160"/>
        </w:tabs>
        <w:ind w:left="2160" w:hanging="360"/>
      </w:pPr>
      <w:rPr>
        <w:rFonts w:ascii="Wingdings" w:hAnsi="Wingdings" w:hint="default"/>
      </w:rPr>
    </w:lvl>
    <w:lvl w:ilvl="3" w:tplc="B644DB2A" w:tentative="1">
      <w:start w:val="1"/>
      <w:numFmt w:val="bullet"/>
      <w:lvlText w:val=""/>
      <w:lvlJc w:val="left"/>
      <w:pPr>
        <w:tabs>
          <w:tab w:val="num" w:pos="2880"/>
        </w:tabs>
        <w:ind w:left="2880" w:hanging="360"/>
      </w:pPr>
      <w:rPr>
        <w:rFonts w:ascii="Symbol" w:hAnsi="Symbol" w:hint="default"/>
      </w:rPr>
    </w:lvl>
    <w:lvl w:ilvl="4" w:tplc="7B7CA466" w:tentative="1">
      <w:start w:val="1"/>
      <w:numFmt w:val="bullet"/>
      <w:lvlText w:val="o"/>
      <w:lvlJc w:val="left"/>
      <w:pPr>
        <w:tabs>
          <w:tab w:val="num" w:pos="3600"/>
        </w:tabs>
        <w:ind w:left="3600" w:hanging="360"/>
      </w:pPr>
      <w:rPr>
        <w:rFonts w:ascii="Courier New" w:hAnsi="Courier New" w:cs="Courier New" w:hint="default"/>
      </w:rPr>
    </w:lvl>
    <w:lvl w:ilvl="5" w:tplc="5B3C941E" w:tentative="1">
      <w:start w:val="1"/>
      <w:numFmt w:val="bullet"/>
      <w:lvlText w:val=""/>
      <w:lvlJc w:val="left"/>
      <w:pPr>
        <w:tabs>
          <w:tab w:val="num" w:pos="4320"/>
        </w:tabs>
        <w:ind w:left="4320" w:hanging="360"/>
      </w:pPr>
      <w:rPr>
        <w:rFonts w:ascii="Wingdings" w:hAnsi="Wingdings" w:hint="default"/>
      </w:rPr>
    </w:lvl>
    <w:lvl w:ilvl="6" w:tplc="A92C8614" w:tentative="1">
      <w:start w:val="1"/>
      <w:numFmt w:val="bullet"/>
      <w:lvlText w:val=""/>
      <w:lvlJc w:val="left"/>
      <w:pPr>
        <w:tabs>
          <w:tab w:val="num" w:pos="5040"/>
        </w:tabs>
        <w:ind w:left="5040" w:hanging="360"/>
      </w:pPr>
      <w:rPr>
        <w:rFonts w:ascii="Symbol" w:hAnsi="Symbol" w:hint="default"/>
      </w:rPr>
    </w:lvl>
    <w:lvl w:ilvl="7" w:tplc="272AD992" w:tentative="1">
      <w:start w:val="1"/>
      <w:numFmt w:val="bullet"/>
      <w:lvlText w:val="o"/>
      <w:lvlJc w:val="left"/>
      <w:pPr>
        <w:tabs>
          <w:tab w:val="num" w:pos="5760"/>
        </w:tabs>
        <w:ind w:left="5760" w:hanging="360"/>
      </w:pPr>
      <w:rPr>
        <w:rFonts w:ascii="Courier New" w:hAnsi="Courier New" w:cs="Courier New" w:hint="default"/>
      </w:rPr>
    </w:lvl>
    <w:lvl w:ilvl="8" w:tplc="74F4207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C668D"/>
    <w:multiLevelType w:val="hybridMultilevel"/>
    <w:tmpl w:val="594C4DAE"/>
    <w:lvl w:ilvl="0" w:tplc="84E0189C">
      <w:start w:val="1"/>
      <w:numFmt w:val="bullet"/>
      <w:pStyle w:val="Bullet4"/>
      <w:lvlText w:val=""/>
      <w:lvlJc w:val="left"/>
      <w:pPr>
        <w:tabs>
          <w:tab w:val="num" w:pos="2676"/>
        </w:tabs>
        <w:ind w:left="2676" w:hanging="357"/>
      </w:pPr>
      <w:rPr>
        <w:rFonts w:ascii="Symbol" w:hAnsi="Symbol" w:hint="default"/>
        <w:color w:val="000000"/>
      </w:rPr>
    </w:lvl>
    <w:lvl w:ilvl="1" w:tplc="8EC47E64" w:tentative="1">
      <w:start w:val="1"/>
      <w:numFmt w:val="bullet"/>
      <w:lvlText w:val="o"/>
      <w:lvlJc w:val="left"/>
      <w:pPr>
        <w:tabs>
          <w:tab w:val="num" w:pos="1440"/>
        </w:tabs>
        <w:ind w:left="1440" w:hanging="360"/>
      </w:pPr>
      <w:rPr>
        <w:rFonts w:ascii="Courier New" w:hAnsi="Courier New" w:cs="Courier New" w:hint="default"/>
      </w:rPr>
    </w:lvl>
    <w:lvl w:ilvl="2" w:tplc="57A49F0A" w:tentative="1">
      <w:start w:val="1"/>
      <w:numFmt w:val="bullet"/>
      <w:lvlText w:val=""/>
      <w:lvlJc w:val="left"/>
      <w:pPr>
        <w:tabs>
          <w:tab w:val="num" w:pos="2160"/>
        </w:tabs>
        <w:ind w:left="2160" w:hanging="360"/>
      </w:pPr>
      <w:rPr>
        <w:rFonts w:ascii="Wingdings" w:hAnsi="Wingdings" w:hint="default"/>
      </w:rPr>
    </w:lvl>
    <w:lvl w:ilvl="3" w:tplc="E9809AAC" w:tentative="1">
      <w:start w:val="1"/>
      <w:numFmt w:val="bullet"/>
      <w:lvlText w:val=""/>
      <w:lvlJc w:val="left"/>
      <w:pPr>
        <w:tabs>
          <w:tab w:val="num" w:pos="2880"/>
        </w:tabs>
        <w:ind w:left="2880" w:hanging="360"/>
      </w:pPr>
      <w:rPr>
        <w:rFonts w:ascii="Symbol" w:hAnsi="Symbol" w:hint="default"/>
      </w:rPr>
    </w:lvl>
    <w:lvl w:ilvl="4" w:tplc="3814C348" w:tentative="1">
      <w:start w:val="1"/>
      <w:numFmt w:val="bullet"/>
      <w:lvlText w:val="o"/>
      <w:lvlJc w:val="left"/>
      <w:pPr>
        <w:tabs>
          <w:tab w:val="num" w:pos="3600"/>
        </w:tabs>
        <w:ind w:left="3600" w:hanging="360"/>
      </w:pPr>
      <w:rPr>
        <w:rFonts w:ascii="Courier New" w:hAnsi="Courier New" w:cs="Courier New" w:hint="default"/>
      </w:rPr>
    </w:lvl>
    <w:lvl w:ilvl="5" w:tplc="343E7BD2" w:tentative="1">
      <w:start w:val="1"/>
      <w:numFmt w:val="bullet"/>
      <w:lvlText w:val=""/>
      <w:lvlJc w:val="left"/>
      <w:pPr>
        <w:tabs>
          <w:tab w:val="num" w:pos="4320"/>
        </w:tabs>
        <w:ind w:left="4320" w:hanging="360"/>
      </w:pPr>
      <w:rPr>
        <w:rFonts w:ascii="Wingdings" w:hAnsi="Wingdings" w:hint="default"/>
      </w:rPr>
    </w:lvl>
    <w:lvl w:ilvl="6" w:tplc="C0B6B116" w:tentative="1">
      <w:start w:val="1"/>
      <w:numFmt w:val="bullet"/>
      <w:lvlText w:val=""/>
      <w:lvlJc w:val="left"/>
      <w:pPr>
        <w:tabs>
          <w:tab w:val="num" w:pos="5040"/>
        </w:tabs>
        <w:ind w:left="5040" w:hanging="360"/>
      </w:pPr>
      <w:rPr>
        <w:rFonts w:ascii="Symbol" w:hAnsi="Symbol" w:hint="default"/>
      </w:rPr>
    </w:lvl>
    <w:lvl w:ilvl="7" w:tplc="27BA8058" w:tentative="1">
      <w:start w:val="1"/>
      <w:numFmt w:val="bullet"/>
      <w:lvlText w:val="o"/>
      <w:lvlJc w:val="left"/>
      <w:pPr>
        <w:tabs>
          <w:tab w:val="num" w:pos="5760"/>
        </w:tabs>
        <w:ind w:left="5760" w:hanging="360"/>
      </w:pPr>
      <w:rPr>
        <w:rFonts w:ascii="Courier New" w:hAnsi="Courier New" w:cs="Courier New" w:hint="default"/>
      </w:rPr>
    </w:lvl>
    <w:lvl w:ilvl="8" w:tplc="4702832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0" w15:restartNumberingAfterBreak="0">
    <w:nsid w:val="38130038"/>
    <w:multiLevelType w:val="hybridMultilevel"/>
    <w:tmpl w:val="FF8A0FAE"/>
    <w:lvl w:ilvl="0" w:tplc="F0FC9BC4">
      <w:start w:val="1"/>
      <w:numFmt w:val="bullet"/>
      <w:pStyle w:val="ClauseBullet2"/>
      <w:lvlText w:val=""/>
      <w:lvlJc w:val="left"/>
      <w:pPr>
        <w:ind w:left="1440" w:hanging="360"/>
      </w:pPr>
      <w:rPr>
        <w:rFonts w:ascii="Symbol" w:hAnsi="Symbol" w:hint="default"/>
        <w:color w:val="000000"/>
      </w:rPr>
    </w:lvl>
    <w:lvl w:ilvl="1" w:tplc="313AC8D0" w:tentative="1">
      <w:start w:val="1"/>
      <w:numFmt w:val="bullet"/>
      <w:lvlText w:val="o"/>
      <w:lvlJc w:val="left"/>
      <w:pPr>
        <w:ind w:left="2160" w:hanging="360"/>
      </w:pPr>
      <w:rPr>
        <w:rFonts w:ascii="Courier New" w:hAnsi="Courier New" w:cs="Courier New" w:hint="default"/>
      </w:rPr>
    </w:lvl>
    <w:lvl w:ilvl="2" w:tplc="7CA08E78" w:tentative="1">
      <w:start w:val="1"/>
      <w:numFmt w:val="bullet"/>
      <w:lvlText w:val=""/>
      <w:lvlJc w:val="left"/>
      <w:pPr>
        <w:ind w:left="2880" w:hanging="360"/>
      </w:pPr>
      <w:rPr>
        <w:rFonts w:ascii="Wingdings" w:hAnsi="Wingdings" w:hint="default"/>
      </w:rPr>
    </w:lvl>
    <w:lvl w:ilvl="3" w:tplc="13C6DA30" w:tentative="1">
      <w:start w:val="1"/>
      <w:numFmt w:val="bullet"/>
      <w:lvlText w:val=""/>
      <w:lvlJc w:val="left"/>
      <w:pPr>
        <w:ind w:left="3600" w:hanging="360"/>
      </w:pPr>
      <w:rPr>
        <w:rFonts w:ascii="Symbol" w:hAnsi="Symbol" w:hint="default"/>
      </w:rPr>
    </w:lvl>
    <w:lvl w:ilvl="4" w:tplc="0B6C8246" w:tentative="1">
      <w:start w:val="1"/>
      <w:numFmt w:val="bullet"/>
      <w:lvlText w:val="o"/>
      <w:lvlJc w:val="left"/>
      <w:pPr>
        <w:ind w:left="4320" w:hanging="360"/>
      </w:pPr>
      <w:rPr>
        <w:rFonts w:ascii="Courier New" w:hAnsi="Courier New" w:cs="Courier New" w:hint="default"/>
      </w:rPr>
    </w:lvl>
    <w:lvl w:ilvl="5" w:tplc="2F32E3C4" w:tentative="1">
      <w:start w:val="1"/>
      <w:numFmt w:val="bullet"/>
      <w:lvlText w:val=""/>
      <w:lvlJc w:val="left"/>
      <w:pPr>
        <w:ind w:left="5040" w:hanging="360"/>
      </w:pPr>
      <w:rPr>
        <w:rFonts w:ascii="Wingdings" w:hAnsi="Wingdings" w:hint="default"/>
      </w:rPr>
    </w:lvl>
    <w:lvl w:ilvl="6" w:tplc="9AB0D322" w:tentative="1">
      <w:start w:val="1"/>
      <w:numFmt w:val="bullet"/>
      <w:lvlText w:val=""/>
      <w:lvlJc w:val="left"/>
      <w:pPr>
        <w:ind w:left="5760" w:hanging="360"/>
      </w:pPr>
      <w:rPr>
        <w:rFonts w:ascii="Symbol" w:hAnsi="Symbol" w:hint="default"/>
      </w:rPr>
    </w:lvl>
    <w:lvl w:ilvl="7" w:tplc="57F2588A" w:tentative="1">
      <w:start w:val="1"/>
      <w:numFmt w:val="bullet"/>
      <w:lvlText w:val="o"/>
      <w:lvlJc w:val="left"/>
      <w:pPr>
        <w:ind w:left="6480" w:hanging="360"/>
      </w:pPr>
      <w:rPr>
        <w:rFonts w:ascii="Courier New" w:hAnsi="Courier New" w:cs="Courier New" w:hint="default"/>
      </w:rPr>
    </w:lvl>
    <w:lvl w:ilvl="8" w:tplc="1D20CDE4" w:tentative="1">
      <w:start w:val="1"/>
      <w:numFmt w:val="bullet"/>
      <w:lvlText w:val=""/>
      <w:lvlJc w:val="left"/>
      <w:pPr>
        <w:ind w:left="7200" w:hanging="360"/>
      </w:pPr>
      <w:rPr>
        <w:rFonts w:ascii="Wingdings" w:hAnsi="Wingdings" w:hint="default"/>
      </w:rPr>
    </w:lvl>
  </w:abstractNum>
  <w:abstractNum w:abstractNumId="11" w15:restartNumberingAfterBreak="0">
    <w:nsid w:val="44D67987"/>
    <w:multiLevelType w:val="hybridMultilevel"/>
    <w:tmpl w:val="EBD6FB80"/>
    <w:lvl w:ilvl="0" w:tplc="4A9A8624">
      <w:start w:val="1"/>
      <w:numFmt w:val="bullet"/>
      <w:pStyle w:val="subclause1Bullet2"/>
      <w:lvlText w:val=""/>
      <w:lvlJc w:val="left"/>
      <w:pPr>
        <w:ind w:left="1440" w:hanging="360"/>
      </w:pPr>
      <w:rPr>
        <w:rFonts w:ascii="Symbol" w:hAnsi="Symbol" w:hint="default"/>
        <w:color w:val="000000"/>
      </w:rPr>
    </w:lvl>
    <w:lvl w:ilvl="1" w:tplc="A4C24FA0" w:tentative="1">
      <w:start w:val="1"/>
      <w:numFmt w:val="bullet"/>
      <w:lvlText w:val="o"/>
      <w:lvlJc w:val="left"/>
      <w:pPr>
        <w:ind w:left="2160" w:hanging="360"/>
      </w:pPr>
      <w:rPr>
        <w:rFonts w:ascii="Courier New" w:hAnsi="Courier New" w:cs="Courier New" w:hint="default"/>
      </w:rPr>
    </w:lvl>
    <w:lvl w:ilvl="2" w:tplc="3C0AA6C8" w:tentative="1">
      <w:start w:val="1"/>
      <w:numFmt w:val="bullet"/>
      <w:lvlText w:val=""/>
      <w:lvlJc w:val="left"/>
      <w:pPr>
        <w:ind w:left="2880" w:hanging="360"/>
      </w:pPr>
      <w:rPr>
        <w:rFonts w:ascii="Wingdings" w:hAnsi="Wingdings" w:hint="default"/>
      </w:rPr>
    </w:lvl>
    <w:lvl w:ilvl="3" w:tplc="AFBEAF24" w:tentative="1">
      <w:start w:val="1"/>
      <w:numFmt w:val="bullet"/>
      <w:lvlText w:val=""/>
      <w:lvlJc w:val="left"/>
      <w:pPr>
        <w:ind w:left="3600" w:hanging="360"/>
      </w:pPr>
      <w:rPr>
        <w:rFonts w:ascii="Symbol" w:hAnsi="Symbol" w:hint="default"/>
      </w:rPr>
    </w:lvl>
    <w:lvl w:ilvl="4" w:tplc="7FE26618" w:tentative="1">
      <w:start w:val="1"/>
      <w:numFmt w:val="bullet"/>
      <w:lvlText w:val="o"/>
      <w:lvlJc w:val="left"/>
      <w:pPr>
        <w:ind w:left="4320" w:hanging="360"/>
      </w:pPr>
      <w:rPr>
        <w:rFonts w:ascii="Courier New" w:hAnsi="Courier New" w:cs="Courier New" w:hint="default"/>
      </w:rPr>
    </w:lvl>
    <w:lvl w:ilvl="5" w:tplc="0AC69986" w:tentative="1">
      <w:start w:val="1"/>
      <w:numFmt w:val="bullet"/>
      <w:lvlText w:val=""/>
      <w:lvlJc w:val="left"/>
      <w:pPr>
        <w:ind w:left="5040" w:hanging="360"/>
      </w:pPr>
      <w:rPr>
        <w:rFonts w:ascii="Wingdings" w:hAnsi="Wingdings" w:hint="default"/>
      </w:rPr>
    </w:lvl>
    <w:lvl w:ilvl="6" w:tplc="323ECAD2" w:tentative="1">
      <w:start w:val="1"/>
      <w:numFmt w:val="bullet"/>
      <w:lvlText w:val=""/>
      <w:lvlJc w:val="left"/>
      <w:pPr>
        <w:ind w:left="5760" w:hanging="360"/>
      </w:pPr>
      <w:rPr>
        <w:rFonts w:ascii="Symbol" w:hAnsi="Symbol" w:hint="default"/>
      </w:rPr>
    </w:lvl>
    <w:lvl w:ilvl="7" w:tplc="5DB8C576" w:tentative="1">
      <w:start w:val="1"/>
      <w:numFmt w:val="bullet"/>
      <w:lvlText w:val="o"/>
      <w:lvlJc w:val="left"/>
      <w:pPr>
        <w:ind w:left="6480" w:hanging="360"/>
      </w:pPr>
      <w:rPr>
        <w:rFonts w:ascii="Courier New" w:hAnsi="Courier New" w:cs="Courier New" w:hint="default"/>
      </w:rPr>
    </w:lvl>
    <w:lvl w:ilvl="8" w:tplc="D9DEC4EC" w:tentative="1">
      <w:start w:val="1"/>
      <w:numFmt w:val="bullet"/>
      <w:lvlText w:val=""/>
      <w:lvlJc w:val="left"/>
      <w:pPr>
        <w:ind w:left="7200" w:hanging="360"/>
      </w:pPr>
      <w:rPr>
        <w:rFonts w:ascii="Wingdings" w:hAnsi="Wingdings" w:hint="default"/>
      </w:rPr>
    </w:lvl>
  </w:abstractNum>
  <w:abstractNum w:abstractNumId="12" w15:restartNumberingAfterBreak="0">
    <w:nsid w:val="44E96665"/>
    <w:multiLevelType w:val="hybridMultilevel"/>
    <w:tmpl w:val="EF1E142A"/>
    <w:lvl w:ilvl="0" w:tplc="AC224202">
      <w:start w:val="1"/>
      <w:numFmt w:val="bullet"/>
      <w:pStyle w:val="subclause3Bullet1"/>
      <w:lvlText w:val=""/>
      <w:lvlJc w:val="left"/>
      <w:pPr>
        <w:ind w:left="2988" w:hanging="360"/>
      </w:pPr>
      <w:rPr>
        <w:rFonts w:ascii="Symbol" w:hAnsi="Symbol" w:hint="default"/>
        <w:color w:val="000000"/>
      </w:rPr>
    </w:lvl>
    <w:lvl w:ilvl="1" w:tplc="BCE09158" w:tentative="1">
      <w:start w:val="1"/>
      <w:numFmt w:val="bullet"/>
      <w:lvlText w:val="o"/>
      <w:lvlJc w:val="left"/>
      <w:pPr>
        <w:ind w:left="3708" w:hanging="360"/>
      </w:pPr>
      <w:rPr>
        <w:rFonts w:ascii="Courier New" w:hAnsi="Courier New" w:cs="Courier New" w:hint="default"/>
      </w:rPr>
    </w:lvl>
    <w:lvl w:ilvl="2" w:tplc="3EEEC5BC" w:tentative="1">
      <w:start w:val="1"/>
      <w:numFmt w:val="bullet"/>
      <w:lvlText w:val=""/>
      <w:lvlJc w:val="left"/>
      <w:pPr>
        <w:ind w:left="4428" w:hanging="360"/>
      </w:pPr>
      <w:rPr>
        <w:rFonts w:ascii="Wingdings" w:hAnsi="Wingdings" w:hint="default"/>
      </w:rPr>
    </w:lvl>
    <w:lvl w:ilvl="3" w:tplc="3EE66A76" w:tentative="1">
      <w:start w:val="1"/>
      <w:numFmt w:val="bullet"/>
      <w:lvlText w:val=""/>
      <w:lvlJc w:val="left"/>
      <w:pPr>
        <w:ind w:left="5148" w:hanging="360"/>
      </w:pPr>
      <w:rPr>
        <w:rFonts w:ascii="Symbol" w:hAnsi="Symbol" w:hint="default"/>
      </w:rPr>
    </w:lvl>
    <w:lvl w:ilvl="4" w:tplc="CF64B492" w:tentative="1">
      <w:start w:val="1"/>
      <w:numFmt w:val="bullet"/>
      <w:lvlText w:val="o"/>
      <w:lvlJc w:val="left"/>
      <w:pPr>
        <w:ind w:left="5868" w:hanging="360"/>
      </w:pPr>
      <w:rPr>
        <w:rFonts w:ascii="Courier New" w:hAnsi="Courier New" w:cs="Courier New" w:hint="default"/>
      </w:rPr>
    </w:lvl>
    <w:lvl w:ilvl="5" w:tplc="C26AE34E" w:tentative="1">
      <w:start w:val="1"/>
      <w:numFmt w:val="bullet"/>
      <w:lvlText w:val=""/>
      <w:lvlJc w:val="left"/>
      <w:pPr>
        <w:ind w:left="6588" w:hanging="360"/>
      </w:pPr>
      <w:rPr>
        <w:rFonts w:ascii="Wingdings" w:hAnsi="Wingdings" w:hint="default"/>
      </w:rPr>
    </w:lvl>
    <w:lvl w:ilvl="6" w:tplc="AD646264" w:tentative="1">
      <w:start w:val="1"/>
      <w:numFmt w:val="bullet"/>
      <w:lvlText w:val=""/>
      <w:lvlJc w:val="left"/>
      <w:pPr>
        <w:ind w:left="7308" w:hanging="360"/>
      </w:pPr>
      <w:rPr>
        <w:rFonts w:ascii="Symbol" w:hAnsi="Symbol" w:hint="default"/>
      </w:rPr>
    </w:lvl>
    <w:lvl w:ilvl="7" w:tplc="1E946D3A" w:tentative="1">
      <w:start w:val="1"/>
      <w:numFmt w:val="bullet"/>
      <w:lvlText w:val="o"/>
      <w:lvlJc w:val="left"/>
      <w:pPr>
        <w:ind w:left="8028" w:hanging="360"/>
      </w:pPr>
      <w:rPr>
        <w:rFonts w:ascii="Courier New" w:hAnsi="Courier New" w:cs="Courier New" w:hint="default"/>
      </w:rPr>
    </w:lvl>
    <w:lvl w:ilvl="8" w:tplc="E7DC6006" w:tentative="1">
      <w:start w:val="1"/>
      <w:numFmt w:val="bullet"/>
      <w:lvlText w:val=""/>
      <w:lvlJc w:val="left"/>
      <w:pPr>
        <w:ind w:left="8748" w:hanging="360"/>
      </w:pPr>
      <w:rPr>
        <w:rFonts w:ascii="Wingdings" w:hAnsi="Wingdings" w:hint="default"/>
      </w:rPr>
    </w:lvl>
  </w:abstractNum>
  <w:abstractNum w:abstractNumId="13" w15:restartNumberingAfterBreak="0">
    <w:nsid w:val="46AC04C6"/>
    <w:multiLevelType w:val="hybridMultilevel"/>
    <w:tmpl w:val="E6C47700"/>
    <w:lvl w:ilvl="0" w:tplc="C47A0D88">
      <w:start w:val="1"/>
      <w:numFmt w:val="bullet"/>
      <w:pStyle w:val="subclause2Bullet1"/>
      <w:lvlText w:val=""/>
      <w:lvlJc w:val="left"/>
      <w:pPr>
        <w:ind w:left="2279" w:hanging="360"/>
      </w:pPr>
      <w:rPr>
        <w:rFonts w:ascii="Symbol" w:hAnsi="Symbol" w:hint="default"/>
        <w:color w:val="000000"/>
      </w:rPr>
    </w:lvl>
    <w:lvl w:ilvl="1" w:tplc="7BB2D1BC" w:tentative="1">
      <w:start w:val="1"/>
      <w:numFmt w:val="bullet"/>
      <w:lvlText w:val="o"/>
      <w:lvlJc w:val="left"/>
      <w:pPr>
        <w:ind w:left="2999" w:hanging="360"/>
      </w:pPr>
      <w:rPr>
        <w:rFonts w:ascii="Courier New" w:hAnsi="Courier New" w:cs="Courier New" w:hint="default"/>
      </w:rPr>
    </w:lvl>
    <w:lvl w:ilvl="2" w:tplc="AF086FFC" w:tentative="1">
      <w:start w:val="1"/>
      <w:numFmt w:val="bullet"/>
      <w:lvlText w:val=""/>
      <w:lvlJc w:val="left"/>
      <w:pPr>
        <w:ind w:left="3719" w:hanging="360"/>
      </w:pPr>
      <w:rPr>
        <w:rFonts w:ascii="Wingdings" w:hAnsi="Wingdings" w:hint="default"/>
      </w:rPr>
    </w:lvl>
    <w:lvl w:ilvl="3" w:tplc="AA40F76E" w:tentative="1">
      <w:start w:val="1"/>
      <w:numFmt w:val="bullet"/>
      <w:lvlText w:val=""/>
      <w:lvlJc w:val="left"/>
      <w:pPr>
        <w:ind w:left="4439" w:hanging="360"/>
      </w:pPr>
      <w:rPr>
        <w:rFonts w:ascii="Symbol" w:hAnsi="Symbol" w:hint="default"/>
      </w:rPr>
    </w:lvl>
    <w:lvl w:ilvl="4" w:tplc="B9848DD6" w:tentative="1">
      <w:start w:val="1"/>
      <w:numFmt w:val="bullet"/>
      <w:lvlText w:val="o"/>
      <w:lvlJc w:val="left"/>
      <w:pPr>
        <w:ind w:left="5159" w:hanging="360"/>
      </w:pPr>
      <w:rPr>
        <w:rFonts w:ascii="Courier New" w:hAnsi="Courier New" w:cs="Courier New" w:hint="default"/>
      </w:rPr>
    </w:lvl>
    <w:lvl w:ilvl="5" w:tplc="AF4A4010" w:tentative="1">
      <w:start w:val="1"/>
      <w:numFmt w:val="bullet"/>
      <w:lvlText w:val=""/>
      <w:lvlJc w:val="left"/>
      <w:pPr>
        <w:ind w:left="5879" w:hanging="360"/>
      </w:pPr>
      <w:rPr>
        <w:rFonts w:ascii="Wingdings" w:hAnsi="Wingdings" w:hint="default"/>
      </w:rPr>
    </w:lvl>
    <w:lvl w:ilvl="6" w:tplc="18165E0E" w:tentative="1">
      <w:start w:val="1"/>
      <w:numFmt w:val="bullet"/>
      <w:lvlText w:val=""/>
      <w:lvlJc w:val="left"/>
      <w:pPr>
        <w:ind w:left="6599" w:hanging="360"/>
      </w:pPr>
      <w:rPr>
        <w:rFonts w:ascii="Symbol" w:hAnsi="Symbol" w:hint="default"/>
      </w:rPr>
    </w:lvl>
    <w:lvl w:ilvl="7" w:tplc="D9E60FE0" w:tentative="1">
      <w:start w:val="1"/>
      <w:numFmt w:val="bullet"/>
      <w:lvlText w:val="o"/>
      <w:lvlJc w:val="left"/>
      <w:pPr>
        <w:ind w:left="7319" w:hanging="360"/>
      </w:pPr>
      <w:rPr>
        <w:rFonts w:ascii="Courier New" w:hAnsi="Courier New" w:cs="Courier New" w:hint="default"/>
      </w:rPr>
    </w:lvl>
    <w:lvl w:ilvl="8" w:tplc="61403C2E" w:tentative="1">
      <w:start w:val="1"/>
      <w:numFmt w:val="bullet"/>
      <w:lvlText w:val=""/>
      <w:lvlJc w:val="left"/>
      <w:pPr>
        <w:ind w:left="8039" w:hanging="360"/>
      </w:pPr>
      <w:rPr>
        <w:rFonts w:ascii="Wingdings" w:hAnsi="Wingdings" w:hint="default"/>
      </w:rPr>
    </w:lvl>
  </w:abstractNum>
  <w:abstractNum w:abstractNumId="14" w15:restartNumberingAfterBreak="0">
    <w:nsid w:val="47F42723"/>
    <w:multiLevelType w:val="hybridMultilevel"/>
    <w:tmpl w:val="C5A02EE6"/>
    <w:lvl w:ilvl="0" w:tplc="48FAF0C0">
      <w:start w:val="1"/>
      <w:numFmt w:val="bullet"/>
      <w:pStyle w:val="subclause1Bullet1"/>
      <w:lvlText w:val=""/>
      <w:lvlJc w:val="left"/>
      <w:pPr>
        <w:ind w:left="1440" w:hanging="360"/>
      </w:pPr>
      <w:rPr>
        <w:rFonts w:ascii="Symbol" w:hAnsi="Symbol" w:hint="default"/>
        <w:color w:val="000000"/>
      </w:rPr>
    </w:lvl>
    <w:lvl w:ilvl="1" w:tplc="75A4A750" w:tentative="1">
      <w:start w:val="1"/>
      <w:numFmt w:val="bullet"/>
      <w:lvlText w:val="o"/>
      <w:lvlJc w:val="left"/>
      <w:pPr>
        <w:ind w:left="2160" w:hanging="360"/>
      </w:pPr>
      <w:rPr>
        <w:rFonts w:ascii="Courier New" w:hAnsi="Courier New" w:cs="Courier New" w:hint="default"/>
      </w:rPr>
    </w:lvl>
    <w:lvl w:ilvl="2" w:tplc="47E480EC" w:tentative="1">
      <w:start w:val="1"/>
      <w:numFmt w:val="bullet"/>
      <w:lvlText w:val=""/>
      <w:lvlJc w:val="left"/>
      <w:pPr>
        <w:ind w:left="2880" w:hanging="360"/>
      </w:pPr>
      <w:rPr>
        <w:rFonts w:ascii="Wingdings" w:hAnsi="Wingdings" w:hint="default"/>
      </w:rPr>
    </w:lvl>
    <w:lvl w:ilvl="3" w:tplc="81A2968A" w:tentative="1">
      <w:start w:val="1"/>
      <w:numFmt w:val="bullet"/>
      <w:lvlText w:val=""/>
      <w:lvlJc w:val="left"/>
      <w:pPr>
        <w:ind w:left="3600" w:hanging="360"/>
      </w:pPr>
      <w:rPr>
        <w:rFonts w:ascii="Symbol" w:hAnsi="Symbol" w:hint="default"/>
      </w:rPr>
    </w:lvl>
    <w:lvl w:ilvl="4" w:tplc="D44873C4" w:tentative="1">
      <w:start w:val="1"/>
      <w:numFmt w:val="bullet"/>
      <w:lvlText w:val="o"/>
      <w:lvlJc w:val="left"/>
      <w:pPr>
        <w:ind w:left="4320" w:hanging="360"/>
      </w:pPr>
      <w:rPr>
        <w:rFonts w:ascii="Courier New" w:hAnsi="Courier New" w:cs="Courier New" w:hint="default"/>
      </w:rPr>
    </w:lvl>
    <w:lvl w:ilvl="5" w:tplc="B4824EAC" w:tentative="1">
      <w:start w:val="1"/>
      <w:numFmt w:val="bullet"/>
      <w:lvlText w:val=""/>
      <w:lvlJc w:val="left"/>
      <w:pPr>
        <w:ind w:left="5040" w:hanging="360"/>
      </w:pPr>
      <w:rPr>
        <w:rFonts w:ascii="Wingdings" w:hAnsi="Wingdings" w:hint="default"/>
      </w:rPr>
    </w:lvl>
    <w:lvl w:ilvl="6" w:tplc="891C59D2" w:tentative="1">
      <w:start w:val="1"/>
      <w:numFmt w:val="bullet"/>
      <w:lvlText w:val=""/>
      <w:lvlJc w:val="left"/>
      <w:pPr>
        <w:ind w:left="5760" w:hanging="360"/>
      </w:pPr>
      <w:rPr>
        <w:rFonts w:ascii="Symbol" w:hAnsi="Symbol" w:hint="default"/>
      </w:rPr>
    </w:lvl>
    <w:lvl w:ilvl="7" w:tplc="2ADA647E" w:tentative="1">
      <w:start w:val="1"/>
      <w:numFmt w:val="bullet"/>
      <w:lvlText w:val="o"/>
      <w:lvlJc w:val="left"/>
      <w:pPr>
        <w:ind w:left="6480" w:hanging="360"/>
      </w:pPr>
      <w:rPr>
        <w:rFonts w:ascii="Courier New" w:hAnsi="Courier New" w:cs="Courier New" w:hint="default"/>
      </w:rPr>
    </w:lvl>
    <w:lvl w:ilvl="8" w:tplc="93AEECA4" w:tentative="1">
      <w:start w:val="1"/>
      <w:numFmt w:val="bullet"/>
      <w:lvlText w:val=""/>
      <w:lvlJc w:val="left"/>
      <w:pPr>
        <w:ind w:left="7200" w:hanging="360"/>
      </w:pPr>
      <w:rPr>
        <w:rFonts w:ascii="Wingdings" w:hAnsi="Wingdings" w:hint="default"/>
      </w:rPr>
    </w:lvl>
  </w:abstractNum>
  <w:abstractNum w:abstractNumId="15" w15:restartNumberingAfterBreak="0">
    <w:nsid w:val="55CB0AF0"/>
    <w:multiLevelType w:val="hybridMultilevel"/>
    <w:tmpl w:val="EB98B43A"/>
    <w:lvl w:ilvl="0" w:tplc="9E583880">
      <w:start w:val="1"/>
      <w:numFmt w:val="decimal"/>
      <w:pStyle w:val="LongQuestionPara"/>
      <w:lvlText w:val="%1."/>
      <w:lvlJc w:val="left"/>
      <w:pPr>
        <w:ind w:left="360" w:hanging="360"/>
      </w:pPr>
      <w:rPr>
        <w:rFonts w:hint="default"/>
        <w:b/>
        <w:i w:val="0"/>
        <w:color w:val="000000"/>
        <w:sz w:val="24"/>
      </w:rPr>
    </w:lvl>
    <w:lvl w:ilvl="1" w:tplc="18361FA6" w:tentative="1">
      <w:start w:val="1"/>
      <w:numFmt w:val="lowerLetter"/>
      <w:lvlText w:val="%2."/>
      <w:lvlJc w:val="left"/>
      <w:pPr>
        <w:ind w:left="1440" w:hanging="360"/>
      </w:pPr>
    </w:lvl>
    <w:lvl w:ilvl="2" w:tplc="A6C429D0" w:tentative="1">
      <w:start w:val="1"/>
      <w:numFmt w:val="lowerRoman"/>
      <w:lvlText w:val="%3."/>
      <w:lvlJc w:val="right"/>
      <w:pPr>
        <w:ind w:left="2160" w:hanging="180"/>
      </w:pPr>
    </w:lvl>
    <w:lvl w:ilvl="3" w:tplc="91283E06" w:tentative="1">
      <w:start w:val="1"/>
      <w:numFmt w:val="decimal"/>
      <w:lvlText w:val="%4."/>
      <w:lvlJc w:val="left"/>
      <w:pPr>
        <w:ind w:left="2880" w:hanging="360"/>
      </w:pPr>
    </w:lvl>
    <w:lvl w:ilvl="4" w:tplc="D59C419E" w:tentative="1">
      <w:start w:val="1"/>
      <w:numFmt w:val="lowerLetter"/>
      <w:lvlText w:val="%5."/>
      <w:lvlJc w:val="left"/>
      <w:pPr>
        <w:ind w:left="3600" w:hanging="360"/>
      </w:pPr>
    </w:lvl>
    <w:lvl w:ilvl="5" w:tplc="A024EE72" w:tentative="1">
      <w:start w:val="1"/>
      <w:numFmt w:val="lowerRoman"/>
      <w:lvlText w:val="%6."/>
      <w:lvlJc w:val="right"/>
      <w:pPr>
        <w:ind w:left="4320" w:hanging="180"/>
      </w:pPr>
    </w:lvl>
    <w:lvl w:ilvl="6" w:tplc="1BEEC0A4" w:tentative="1">
      <w:start w:val="1"/>
      <w:numFmt w:val="decimal"/>
      <w:lvlText w:val="%7."/>
      <w:lvlJc w:val="left"/>
      <w:pPr>
        <w:ind w:left="5040" w:hanging="360"/>
      </w:pPr>
    </w:lvl>
    <w:lvl w:ilvl="7" w:tplc="D916A7B4" w:tentative="1">
      <w:start w:val="1"/>
      <w:numFmt w:val="lowerLetter"/>
      <w:lvlText w:val="%8."/>
      <w:lvlJc w:val="left"/>
      <w:pPr>
        <w:ind w:left="5760" w:hanging="360"/>
      </w:pPr>
    </w:lvl>
    <w:lvl w:ilvl="8" w:tplc="0CFA3B62" w:tentative="1">
      <w:start w:val="1"/>
      <w:numFmt w:val="lowerRoman"/>
      <w:lvlText w:val="%9."/>
      <w:lvlJc w:val="right"/>
      <w:pPr>
        <w:ind w:left="6480" w:hanging="180"/>
      </w:pPr>
    </w:lvl>
  </w:abstractNum>
  <w:abstractNum w:abstractNumId="16"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71422"/>
    <w:multiLevelType w:val="hybridMultilevel"/>
    <w:tmpl w:val="59B858D8"/>
    <w:lvl w:ilvl="0" w:tplc="52F843DC">
      <w:start w:val="1"/>
      <w:numFmt w:val="bullet"/>
      <w:pStyle w:val="ClauseBullet1"/>
      <w:lvlText w:val=""/>
      <w:lvlJc w:val="left"/>
      <w:pPr>
        <w:ind w:left="1080" w:hanging="360"/>
      </w:pPr>
      <w:rPr>
        <w:rFonts w:ascii="Symbol" w:hAnsi="Symbol" w:hint="default"/>
        <w:color w:val="000000"/>
      </w:rPr>
    </w:lvl>
    <w:lvl w:ilvl="1" w:tplc="D9A416B6" w:tentative="1">
      <w:start w:val="1"/>
      <w:numFmt w:val="bullet"/>
      <w:lvlText w:val="o"/>
      <w:lvlJc w:val="left"/>
      <w:pPr>
        <w:ind w:left="1800" w:hanging="360"/>
      </w:pPr>
      <w:rPr>
        <w:rFonts w:ascii="Courier New" w:hAnsi="Courier New" w:cs="Courier New" w:hint="default"/>
      </w:rPr>
    </w:lvl>
    <w:lvl w:ilvl="2" w:tplc="C96A7506" w:tentative="1">
      <w:start w:val="1"/>
      <w:numFmt w:val="bullet"/>
      <w:lvlText w:val=""/>
      <w:lvlJc w:val="left"/>
      <w:pPr>
        <w:ind w:left="2520" w:hanging="360"/>
      </w:pPr>
      <w:rPr>
        <w:rFonts w:ascii="Wingdings" w:hAnsi="Wingdings" w:hint="default"/>
      </w:rPr>
    </w:lvl>
    <w:lvl w:ilvl="3" w:tplc="FBC6A6AA" w:tentative="1">
      <w:start w:val="1"/>
      <w:numFmt w:val="bullet"/>
      <w:lvlText w:val=""/>
      <w:lvlJc w:val="left"/>
      <w:pPr>
        <w:ind w:left="3240" w:hanging="360"/>
      </w:pPr>
      <w:rPr>
        <w:rFonts w:ascii="Symbol" w:hAnsi="Symbol" w:hint="default"/>
      </w:rPr>
    </w:lvl>
    <w:lvl w:ilvl="4" w:tplc="50F8C6E0" w:tentative="1">
      <w:start w:val="1"/>
      <w:numFmt w:val="bullet"/>
      <w:lvlText w:val="o"/>
      <w:lvlJc w:val="left"/>
      <w:pPr>
        <w:ind w:left="3960" w:hanging="360"/>
      </w:pPr>
      <w:rPr>
        <w:rFonts w:ascii="Courier New" w:hAnsi="Courier New" w:cs="Courier New" w:hint="default"/>
      </w:rPr>
    </w:lvl>
    <w:lvl w:ilvl="5" w:tplc="041846C0" w:tentative="1">
      <w:start w:val="1"/>
      <w:numFmt w:val="bullet"/>
      <w:lvlText w:val=""/>
      <w:lvlJc w:val="left"/>
      <w:pPr>
        <w:ind w:left="4680" w:hanging="360"/>
      </w:pPr>
      <w:rPr>
        <w:rFonts w:ascii="Wingdings" w:hAnsi="Wingdings" w:hint="default"/>
      </w:rPr>
    </w:lvl>
    <w:lvl w:ilvl="6" w:tplc="BCF81ADA" w:tentative="1">
      <w:start w:val="1"/>
      <w:numFmt w:val="bullet"/>
      <w:lvlText w:val=""/>
      <w:lvlJc w:val="left"/>
      <w:pPr>
        <w:ind w:left="5400" w:hanging="360"/>
      </w:pPr>
      <w:rPr>
        <w:rFonts w:ascii="Symbol" w:hAnsi="Symbol" w:hint="default"/>
      </w:rPr>
    </w:lvl>
    <w:lvl w:ilvl="7" w:tplc="6E16D8F2" w:tentative="1">
      <w:start w:val="1"/>
      <w:numFmt w:val="bullet"/>
      <w:lvlText w:val="o"/>
      <w:lvlJc w:val="left"/>
      <w:pPr>
        <w:ind w:left="6120" w:hanging="360"/>
      </w:pPr>
      <w:rPr>
        <w:rFonts w:ascii="Courier New" w:hAnsi="Courier New" w:cs="Courier New" w:hint="default"/>
      </w:rPr>
    </w:lvl>
    <w:lvl w:ilvl="8" w:tplc="34D8C11A" w:tentative="1">
      <w:start w:val="1"/>
      <w:numFmt w:val="bullet"/>
      <w:lvlText w:val=""/>
      <w:lvlJc w:val="left"/>
      <w:pPr>
        <w:ind w:left="6840" w:hanging="360"/>
      </w:pPr>
      <w:rPr>
        <w:rFonts w:ascii="Wingdings" w:hAnsi="Wingdings" w:hint="default"/>
      </w:rPr>
    </w:lvl>
  </w:abstractNum>
  <w:abstractNum w:abstractNumId="18" w15:restartNumberingAfterBreak="0">
    <w:nsid w:val="642371CD"/>
    <w:multiLevelType w:val="hybridMultilevel"/>
    <w:tmpl w:val="3B76A654"/>
    <w:lvl w:ilvl="0" w:tplc="A70CE3B0">
      <w:start w:val="1"/>
      <w:numFmt w:val="bullet"/>
      <w:pStyle w:val="subclause3Bullet2"/>
      <w:lvlText w:val=""/>
      <w:lvlJc w:val="left"/>
      <w:pPr>
        <w:ind w:left="3748" w:hanging="360"/>
      </w:pPr>
      <w:rPr>
        <w:rFonts w:ascii="Symbol" w:hAnsi="Symbol" w:hint="default"/>
        <w:color w:val="000000"/>
      </w:rPr>
    </w:lvl>
    <w:lvl w:ilvl="1" w:tplc="51741F62" w:tentative="1">
      <w:start w:val="1"/>
      <w:numFmt w:val="bullet"/>
      <w:lvlText w:val="o"/>
      <w:lvlJc w:val="left"/>
      <w:pPr>
        <w:ind w:left="4468" w:hanging="360"/>
      </w:pPr>
      <w:rPr>
        <w:rFonts w:ascii="Courier New" w:hAnsi="Courier New" w:cs="Courier New" w:hint="default"/>
      </w:rPr>
    </w:lvl>
    <w:lvl w:ilvl="2" w:tplc="7DC212F0" w:tentative="1">
      <w:start w:val="1"/>
      <w:numFmt w:val="bullet"/>
      <w:lvlText w:val=""/>
      <w:lvlJc w:val="left"/>
      <w:pPr>
        <w:ind w:left="5188" w:hanging="360"/>
      </w:pPr>
      <w:rPr>
        <w:rFonts w:ascii="Wingdings" w:hAnsi="Wingdings" w:hint="default"/>
      </w:rPr>
    </w:lvl>
    <w:lvl w:ilvl="3" w:tplc="FB4E73BA" w:tentative="1">
      <w:start w:val="1"/>
      <w:numFmt w:val="bullet"/>
      <w:lvlText w:val=""/>
      <w:lvlJc w:val="left"/>
      <w:pPr>
        <w:ind w:left="5908" w:hanging="360"/>
      </w:pPr>
      <w:rPr>
        <w:rFonts w:ascii="Symbol" w:hAnsi="Symbol" w:hint="default"/>
      </w:rPr>
    </w:lvl>
    <w:lvl w:ilvl="4" w:tplc="312CE206" w:tentative="1">
      <w:start w:val="1"/>
      <w:numFmt w:val="bullet"/>
      <w:lvlText w:val="o"/>
      <w:lvlJc w:val="left"/>
      <w:pPr>
        <w:ind w:left="6628" w:hanging="360"/>
      </w:pPr>
      <w:rPr>
        <w:rFonts w:ascii="Courier New" w:hAnsi="Courier New" w:cs="Courier New" w:hint="default"/>
      </w:rPr>
    </w:lvl>
    <w:lvl w:ilvl="5" w:tplc="A1CE076E" w:tentative="1">
      <w:start w:val="1"/>
      <w:numFmt w:val="bullet"/>
      <w:lvlText w:val=""/>
      <w:lvlJc w:val="left"/>
      <w:pPr>
        <w:ind w:left="7348" w:hanging="360"/>
      </w:pPr>
      <w:rPr>
        <w:rFonts w:ascii="Wingdings" w:hAnsi="Wingdings" w:hint="default"/>
      </w:rPr>
    </w:lvl>
    <w:lvl w:ilvl="6" w:tplc="6AD2972E" w:tentative="1">
      <w:start w:val="1"/>
      <w:numFmt w:val="bullet"/>
      <w:lvlText w:val=""/>
      <w:lvlJc w:val="left"/>
      <w:pPr>
        <w:ind w:left="8068" w:hanging="360"/>
      </w:pPr>
      <w:rPr>
        <w:rFonts w:ascii="Symbol" w:hAnsi="Symbol" w:hint="default"/>
      </w:rPr>
    </w:lvl>
    <w:lvl w:ilvl="7" w:tplc="30F48C0C" w:tentative="1">
      <w:start w:val="1"/>
      <w:numFmt w:val="bullet"/>
      <w:lvlText w:val="o"/>
      <w:lvlJc w:val="left"/>
      <w:pPr>
        <w:ind w:left="8788" w:hanging="360"/>
      </w:pPr>
      <w:rPr>
        <w:rFonts w:ascii="Courier New" w:hAnsi="Courier New" w:cs="Courier New" w:hint="default"/>
      </w:rPr>
    </w:lvl>
    <w:lvl w:ilvl="8" w:tplc="40FC7376" w:tentative="1">
      <w:start w:val="1"/>
      <w:numFmt w:val="bullet"/>
      <w:lvlText w:val=""/>
      <w:lvlJc w:val="left"/>
      <w:pPr>
        <w:ind w:left="9508" w:hanging="360"/>
      </w:pPr>
      <w:rPr>
        <w:rFonts w:ascii="Wingdings" w:hAnsi="Wingdings" w:hint="default"/>
      </w:rPr>
    </w:lvl>
  </w:abstractNum>
  <w:abstractNum w:abstractNumId="19"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0" w15:restartNumberingAfterBreak="0">
    <w:nsid w:val="6A14466B"/>
    <w:multiLevelType w:val="hybridMultilevel"/>
    <w:tmpl w:val="2402A666"/>
    <w:lvl w:ilvl="0" w:tplc="3AC0387E">
      <w:start w:val="1"/>
      <w:numFmt w:val="bullet"/>
      <w:pStyle w:val="BulletList1"/>
      <w:lvlText w:val="·"/>
      <w:lvlJc w:val="left"/>
      <w:pPr>
        <w:tabs>
          <w:tab w:val="num" w:pos="360"/>
        </w:tabs>
        <w:ind w:left="360" w:hanging="360"/>
      </w:pPr>
      <w:rPr>
        <w:rFonts w:ascii="Symbol" w:hAnsi="Symbol" w:hint="default"/>
        <w:color w:val="000000"/>
      </w:rPr>
    </w:lvl>
    <w:lvl w:ilvl="1" w:tplc="8A8C8ED4" w:tentative="1">
      <w:start w:val="1"/>
      <w:numFmt w:val="bullet"/>
      <w:lvlText w:val="·"/>
      <w:lvlJc w:val="left"/>
      <w:pPr>
        <w:tabs>
          <w:tab w:val="num" w:pos="1440"/>
        </w:tabs>
        <w:ind w:left="1440" w:hanging="360"/>
      </w:pPr>
      <w:rPr>
        <w:rFonts w:ascii="Symbol" w:hAnsi="Symbol" w:hint="default"/>
      </w:rPr>
    </w:lvl>
    <w:lvl w:ilvl="2" w:tplc="BE9CFF86" w:tentative="1">
      <w:start w:val="1"/>
      <w:numFmt w:val="bullet"/>
      <w:lvlText w:val="·"/>
      <w:lvlJc w:val="left"/>
      <w:pPr>
        <w:tabs>
          <w:tab w:val="num" w:pos="2160"/>
        </w:tabs>
        <w:ind w:left="2160" w:hanging="360"/>
      </w:pPr>
      <w:rPr>
        <w:rFonts w:ascii="Symbol" w:hAnsi="Symbol" w:hint="default"/>
      </w:rPr>
    </w:lvl>
    <w:lvl w:ilvl="3" w:tplc="645A5C50" w:tentative="1">
      <w:start w:val="1"/>
      <w:numFmt w:val="bullet"/>
      <w:lvlText w:val="·"/>
      <w:lvlJc w:val="left"/>
      <w:pPr>
        <w:tabs>
          <w:tab w:val="num" w:pos="2880"/>
        </w:tabs>
        <w:ind w:left="2880" w:hanging="360"/>
      </w:pPr>
      <w:rPr>
        <w:rFonts w:ascii="Symbol" w:hAnsi="Symbol" w:hint="default"/>
      </w:rPr>
    </w:lvl>
    <w:lvl w:ilvl="4" w:tplc="CFBCF73E" w:tentative="1">
      <w:start w:val="1"/>
      <w:numFmt w:val="bullet"/>
      <w:lvlText w:val="o"/>
      <w:lvlJc w:val="left"/>
      <w:pPr>
        <w:tabs>
          <w:tab w:val="num" w:pos="3600"/>
        </w:tabs>
        <w:ind w:left="3600" w:hanging="360"/>
      </w:pPr>
      <w:rPr>
        <w:rFonts w:ascii="Courier New" w:hAnsi="Courier New" w:hint="default"/>
      </w:rPr>
    </w:lvl>
    <w:lvl w:ilvl="5" w:tplc="8A2C2820" w:tentative="1">
      <w:start w:val="1"/>
      <w:numFmt w:val="bullet"/>
      <w:lvlText w:val="§"/>
      <w:lvlJc w:val="left"/>
      <w:pPr>
        <w:tabs>
          <w:tab w:val="num" w:pos="4320"/>
        </w:tabs>
        <w:ind w:left="4320" w:hanging="360"/>
      </w:pPr>
      <w:rPr>
        <w:rFonts w:ascii="Wingdings" w:hAnsi="Wingdings" w:hint="default"/>
      </w:rPr>
    </w:lvl>
    <w:lvl w:ilvl="6" w:tplc="DBD4E648" w:tentative="1">
      <w:start w:val="1"/>
      <w:numFmt w:val="bullet"/>
      <w:lvlText w:val="·"/>
      <w:lvlJc w:val="left"/>
      <w:pPr>
        <w:tabs>
          <w:tab w:val="num" w:pos="5040"/>
        </w:tabs>
        <w:ind w:left="5040" w:hanging="360"/>
      </w:pPr>
      <w:rPr>
        <w:rFonts w:ascii="Symbol" w:hAnsi="Symbol" w:hint="default"/>
      </w:rPr>
    </w:lvl>
    <w:lvl w:ilvl="7" w:tplc="0F1E6CDC" w:tentative="1">
      <w:start w:val="1"/>
      <w:numFmt w:val="bullet"/>
      <w:lvlText w:val="o"/>
      <w:lvlJc w:val="left"/>
      <w:pPr>
        <w:tabs>
          <w:tab w:val="num" w:pos="5760"/>
        </w:tabs>
        <w:ind w:left="5760" w:hanging="360"/>
      </w:pPr>
      <w:rPr>
        <w:rFonts w:ascii="Courier New" w:hAnsi="Courier New" w:hint="default"/>
      </w:rPr>
    </w:lvl>
    <w:lvl w:ilvl="8" w:tplc="A35A420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6F61D66"/>
    <w:multiLevelType w:val="multilevel"/>
    <w:tmpl w:val="41E08AF0"/>
    <w:styleLink w:val="Style1"/>
    <w:lvl w:ilvl="0">
      <w:start w:val="1"/>
      <w:numFmt w:val="decimal"/>
      <w:lvlText w:val="%1."/>
      <w:lvlJc w:val="left"/>
      <w:pPr>
        <w:tabs>
          <w:tab w:val="num" w:pos="454"/>
        </w:tabs>
        <w:ind w:left="567" w:hanging="567"/>
      </w:pPr>
      <w:rPr>
        <w:rFonts w:hint="default"/>
      </w:rPr>
    </w:lvl>
    <w:lvl w:ilvl="1">
      <w:start w:val="1"/>
      <w:numFmt w:val="decimal"/>
      <w:lvlText w:val="%1.%2."/>
      <w:lvlJc w:val="left"/>
      <w:pPr>
        <w:ind w:left="567" w:hanging="567"/>
      </w:pPr>
      <w:rPr>
        <w:rFonts w:hint="default"/>
      </w:rPr>
    </w:lvl>
    <w:lvl w:ilvl="2">
      <w:start w:val="1"/>
      <w:numFmt w:val="low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B5644F"/>
    <w:multiLevelType w:val="hybridMultilevel"/>
    <w:tmpl w:val="8BCC9C08"/>
    <w:lvl w:ilvl="0" w:tplc="A428FC38">
      <w:start w:val="1"/>
      <w:numFmt w:val="bullet"/>
      <w:pStyle w:val="BulletList3"/>
      <w:lvlText w:val=""/>
      <w:lvlJc w:val="left"/>
      <w:pPr>
        <w:tabs>
          <w:tab w:val="num" w:pos="1945"/>
        </w:tabs>
        <w:ind w:left="1945" w:hanging="357"/>
      </w:pPr>
      <w:rPr>
        <w:rFonts w:ascii="Symbol" w:hAnsi="Symbol" w:hint="default"/>
        <w:color w:val="000000"/>
      </w:rPr>
    </w:lvl>
    <w:lvl w:ilvl="1" w:tplc="97E2240E" w:tentative="1">
      <w:start w:val="1"/>
      <w:numFmt w:val="bullet"/>
      <w:lvlText w:val="o"/>
      <w:lvlJc w:val="left"/>
      <w:pPr>
        <w:tabs>
          <w:tab w:val="num" w:pos="1440"/>
        </w:tabs>
        <w:ind w:left="1440" w:hanging="360"/>
      </w:pPr>
      <w:rPr>
        <w:rFonts w:ascii="Courier New" w:hAnsi="Courier New" w:cs="Courier New" w:hint="default"/>
      </w:rPr>
    </w:lvl>
    <w:lvl w:ilvl="2" w:tplc="87684554" w:tentative="1">
      <w:start w:val="1"/>
      <w:numFmt w:val="bullet"/>
      <w:lvlText w:val=""/>
      <w:lvlJc w:val="left"/>
      <w:pPr>
        <w:tabs>
          <w:tab w:val="num" w:pos="2160"/>
        </w:tabs>
        <w:ind w:left="2160" w:hanging="360"/>
      </w:pPr>
      <w:rPr>
        <w:rFonts w:ascii="Wingdings" w:hAnsi="Wingdings" w:hint="default"/>
      </w:rPr>
    </w:lvl>
    <w:lvl w:ilvl="3" w:tplc="2D5232F6" w:tentative="1">
      <w:start w:val="1"/>
      <w:numFmt w:val="bullet"/>
      <w:lvlText w:val=""/>
      <w:lvlJc w:val="left"/>
      <w:pPr>
        <w:tabs>
          <w:tab w:val="num" w:pos="2880"/>
        </w:tabs>
        <w:ind w:left="2880" w:hanging="360"/>
      </w:pPr>
      <w:rPr>
        <w:rFonts w:ascii="Symbol" w:hAnsi="Symbol" w:hint="default"/>
      </w:rPr>
    </w:lvl>
    <w:lvl w:ilvl="4" w:tplc="58E47EFA" w:tentative="1">
      <w:start w:val="1"/>
      <w:numFmt w:val="bullet"/>
      <w:lvlText w:val="o"/>
      <w:lvlJc w:val="left"/>
      <w:pPr>
        <w:tabs>
          <w:tab w:val="num" w:pos="3600"/>
        </w:tabs>
        <w:ind w:left="3600" w:hanging="360"/>
      </w:pPr>
      <w:rPr>
        <w:rFonts w:ascii="Courier New" w:hAnsi="Courier New" w:cs="Courier New" w:hint="default"/>
      </w:rPr>
    </w:lvl>
    <w:lvl w:ilvl="5" w:tplc="A3E4F138" w:tentative="1">
      <w:start w:val="1"/>
      <w:numFmt w:val="bullet"/>
      <w:lvlText w:val=""/>
      <w:lvlJc w:val="left"/>
      <w:pPr>
        <w:tabs>
          <w:tab w:val="num" w:pos="4320"/>
        </w:tabs>
        <w:ind w:left="4320" w:hanging="360"/>
      </w:pPr>
      <w:rPr>
        <w:rFonts w:ascii="Wingdings" w:hAnsi="Wingdings" w:hint="default"/>
      </w:rPr>
    </w:lvl>
    <w:lvl w:ilvl="6" w:tplc="BC50C168" w:tentative="1">
      <w:start w:val="1"/>
      <w:numFmt w:val="bullet"/>
      <w:lvlText w:val=""/>
      <w:lvlJc w:val="left"/>
      <w:pPr>
        <w:tabs>
          <w:tab w:val="num" w:pos="5040"/>
        </w:tabs>
        <w:ind w:left="5040" w:hanging="360"/>
      </w:pPr>
      <w:rPr>
        <w:rFonts w:ascii="Symbol" w:hAnsi="Symbol" w:hint="default"/>
      </w:rPr>
    </w:lvl>
    <w:lvl w:ilvl="7" w:tplc="2E74A15C" w:tentative="1">
      <w:start w:val="1"/>
      <w:numFmt w:val="bullet"/>
      <w:lvlText w:val="o"/>
      <w:lvlJc w:val="left"/>
      <w:pPr>
        <w:tabs>
          <w:tab w:val="num" w:pos="5760"/>
        </w:tabs>
        <w:ind w:left="5760" w:hanging="360"/>
      </w:pPr>
      <w:rPr>
        <w:rFonts w:ascii="Courier New" w:hAnsi="Courier New" w:cs="Courier New" w:hint="default"/>
      </w:rPr>
    </w:lvl>
    <w:lvl w:ilvl="8" w:tplc="D3307232" w:tentative="1">
      <w:start w:val="1"/>
      <w:numFmt w:val="bullet"/>
      <w:lvlText w:val=""/>
      <w:lvlJc w:val="left"/>
      <w:pPr>
        <w:tabs>
          <w:tab w:val="num" w:pos="6480"/>
        </w:tabs>
        <w:ind w:left="6480" w:hanging="360"/>
      </w:pPr>
      <w:rPr>
        <w:rFonts w:ascii="Wingdings" w:hAnsi="Wingdings" w:hint="default"/>
      </w:rPr>
    </w:lvl>
  </w:abstractNum>
  <w:num w:numId="1" w16cid:durableId="1398164806">
    <w:abstractNumId w:val="19"/>
  </w:num>
  <w:num w:numId="2" w16cid:durableId="579409211">
    <w:abstractNumId w:val="20"/>
  </w:num>
  <w:num w:numId="3" w16cid:durableId="682047491">
    <w:abstractNumId w:val="7"/>
  </w:num>
  <w:num w:numId="4" w16cid:durableId="1418287887">
    <w:abstractNumId w:val="24"/>
  </w:num>
  <w:num w:numId="5" w16cid:durableId="1088504294">
    <w:abstractNumId w:val="23"/>
  </w:num>
  <w:num w:numId="6" w16cid:durableId="2107844645">
    <w:abstractNumId w:val="3"/>
  </w:num>
  <w:num w:numId="7" w16cid:durableId="1677883902">
    <w:abstractNumId w:val="9"/>
  </w:num>
  <w:num w:numId="8" w16cid:durableId="827474348">
    <w:abstractNumId w:val="8"/>
  </w:num>
  <w:num w:numId="9" w16cid:durableId="743185276">
    <w:abstractNumId w:val="5"/>
  </w:num>
  <w:num w:numId="10" w16cid:durableId="2047103203">
    <w:abstractNumId w:val="16"/>
  </w:num>
  <w:num w:numId="11" w16cid:durableId="1513564975">
    <w:abstractNumId w:val="4"/>
  </w:num>
  <w:num w:numId="12" w16cid:durableId="1301572705">
    <w:abstractNumId w:val="15"/>
  </w:num>
  <w:num w:numId="13" w16cid:durableId="557473452">
    <w:abstractNumId w:val="17"/>
  </w:num>
  <w:num w:numId="14" w16cid:durableId="44182973">
    <w:abstractNumId w:val="10"/>
  </w:num>
  <w:num w:numId="15" w16cid:durableId="805777880">
    <w:abstractNumId w:val="14"/>
  </w:num>
  <w:num w:numId="16" w16cid:durableId="2075006050">
    <w:abstractNumId w:val="12"/>
  </w:num>
  <w:num w:numId="17" w16cid:durableId="529412206">
    <w:abstractNumId w:val="13"/>
  </w:num>
  <w:num w:numId="18" w16cid:durableId="693768028">
    <w:abstractNumId w:val="11"/>
  </w:num>
  <w:num w:numId="19" w16cid:durableId="603076429">
    <w:abstractNumId w:val="6"/>
  </w:num>
  <w:num w:numId="20" w16cid:durableId="583808299">
    <w:abstractNumId w:val="18"/>
  </w:num>
  <w:num w:numId="21" w16cid:durableId="977147151">
    <w:abstractNumId w:val="1"/>
  </w:num>
  <w:num w:numId="22" w16cid:durableId="554704904">
    <w:abstractNumId w:val="2"/>
  </w:num>
  <w:num w:numId="23" w16cid:durableId="380398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8400047">
    <w:abstractNumId w:val="21"/>
  </w:num>
  <w:num w:numId="25" w16cid:durableId="1462260151">
    <w:abstractNumId w:val="22"/>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A8F77010-67DE-40D8-B23D-6E5DFF0670A9}"/>
  </w:docVars>
  <w:rsids>
    <w:rsidRoot w:val="00837FEB"/>
    <w:rsid w:val="001069F1"/>
    <w:rsid w:val="00153075"/>
    <w:rsid w:val="00191354"/>
    <w:rsid w:val="00196A75"/>
    <w:rsid w:val="001B186A"/>
    <w:rsid w:val="002F33CF"/>
    <w:rsid w:val="003D78D5"/>
    <w:rsid w:val="003E1C1D"/>
    <w:rsid w:val="0041732D"/>
    <w:rsid w:val="005B53EF"/>
    <w:rsid w:val="006A1464"/>
    <w:rsid w:val="00837FEB"/>
    <w:rsid w:val="008D2FBD"/>
    <w:rsid w:val="00A17298"/>
    <w:rsid w:val="00AB50AC"/>
    <w:rsid w:val="00BB12C7"/>
    <w:rsid w:val="00C128B4"/>
    <w:rsid w:val="00C4601D"/>
    <w:rsid w:val="00C5253F"/>
    <w:rsid w:val="00C55631"/>
    <w:rsid w:val="00C85045"/>
    <w:rsid w:val="00D5631F"/>
    <w:rsid w:val="00DB7D27"/>
    <w:rsid w:val="00F32F0C"/>
    <w:rsid w:val="00F84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2ACEA1"/>
  <w15:docId w15:val="{E15BA8E9-7F49-7D43-9222-7320FDA8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1354"/>
    <w:pPr>
      <w:spacing w:after="160" w:line="278" w:lineRule="auto"/>
    </w:pPr>
    <w:rPr>
      <w:rFonts w:eastAsiaTheme="minorHAnsi"/>
      <w:kern w:val="2"/>
      <w:sz w:val="24"/>
      <w:szCs w:val="24"/>
      <w:lang w:val="en-AU" w:eastAsia="en-US"/>
      <w14:ligatures w14:val="standardContextual"/>
    </w:rPr>
  </w:style>
  <w:style w:type="paragraph" w:styleId="Heading1">
    <w:name w:val="heading 1"/>
    <w:basedOn w:val="Normal"/>
    <w:next w:val="Normal"/>
    <w:link w:val="Heading1Char"/>
    <w:uiPriority w:val="9"/>
    <w:qFormat/>
    <w:rsid w:val="0072799E"/>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72799E"/>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72799E"/>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72799E"/>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72799E"/>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2799E"/>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72799E"/>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72799E"/>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2799E"/>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1913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91354"/>
  </w:style>
  <w:style w:type="paragraph" w:customStyle="1" w:styleId="Abstract">
    <w:name w:val="Abstract"/>
    <w:link w:val="AbstractChar"/>
    <w:rsid w:val="0072799E"/>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72799E"/>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72799E"/>
    <w:pPr>
      <w:numPr>
        <w:numId w:val="11"/>
      </w:numPr>
      <w:spacing w:before="240" w:after="240"/>
      <w:ind w:left="0" w:firstLine="0"/>
    </w:pPr>
    <w:rPr>
      <w:b/>
    </w:rPr>
  </w:style>
  <w:style w:type="paragraph" w:customStyle="1" w:styleId="AuthoringGroup">
    <w:name w:val="Authoring Group"/>
    <w:link w:val="AuthoringGroupChar"/>
    <w:rsid w:val="0072799E"/>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72799E"/>
    <w:rPr>
      <w:rFonts w:ascii="Arial" w:eastAsia="Arial Unicode MS" w:hAnsi="Arial" w:cs="Arial"/>
      <w:color w:val="000000"/>
      <w:sz w:val="24"/>
      <w:lang w:val="en-US" w:eastAsia="en-US"/>
    </w:rPr>
  </w:style>
  <w:style w:type="paragraph" w:customStyle="1" w:styleId="Background">
    <w:name w:val="Background"/>
    <w:aliases w:val="(A) Background"/>
    <w:basedOn w:val="Normal"/>
    <w:rsid w:val="0072799E"/>
    <w:pPr>
      <w:numPr>
        <w:numId w:val="1"/>
      </w:numPr>
      <w:spacing w:before="120" w:after="120" w:line="300" w:lineRule="atLeast"/>
      <w:jc w:val="both"/>
    </w:pPr>
    <w:rPr>
      <w:rFonts w:ascii="Arial" w:eastAsia="Arial Unicode MS" w:hAnsi="Arial" w:cs="Arial"/>
      <w:color w:val="000000"/>
      <w:szCs w:val="20"/>
    </w:rPr>
  </w:style>
  <w:style w:type="paragraph" w:customStyle="1" w:styleId="BulletList1">
    <w:name w:val="Bullet List 1"/>
    <w:aliases w:val="Bullet1"/>
    <w:basedOn w:val="Normal"/>
    <w:rsid w:val="0072799E"/>
    <w:pPr>
      <w:numPr>
        <w:numId w:val="2"/>
      </w:numPr>
      <w:spacing w:after="240" w:line="300" w:lineRule="atLeast"/>
      <w:jc w:val="both"/>
    </w:pPr>
    <w:rPr>
      <w:rFonts w:ascii="Arial" w:eastAsia="Arial Unicode MS" w:hAnsi="Arial" w:cs="Arial"/>
      <w:color w:val="000000"/>
      <w:szCs w:val="20"/>
    </w:rPr>
  </w:style>
  <w:style w:type="paragraph" w:customStyle="1" w:styleId="BulletList2">
    <w:name w:val="Bullet List 2"/>
    <w:aliases w:val="Bullet2"/>
    <w:basedOn w:val="Normal"/>
    <w:rsid w:val="0072799E"/>
    <w:pPr>
      <w:numPr>
        <w:numId w:val="3"/>
      </w:numPr>
      <w:spacing w:after="120" w:line="240" w:lineRule="auto"/>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72799E"/>
    <w:pPr>
      <w:numPr>
        <w:numId w:val="4"/>
      </w:numPr>
      <w:spacing w:after="240" w:line="240" w:lineRule="auto"/>
      <w:jc w:val="both"/>
    </w:pPr>
    <w:rPr>
      <w:rFonts w:ascii="Arial" w:eastAsia="Arial Unicode MS" w:hAnsi="Arial" w:cs="Arial"/>
      <w:color w:val="000000"/>
      <w:szCs w:val="20"/>
    </w:rPr>
  </w:style>
  <w:style w:type="paragraph" w:customStyle="1" w:styleId="TitleClause">
    <w:name w:val="Title Clause"/>
    <w:basedOn w:val="Normal"/>
    <w:rsid w:val="0072799E"/>
    <w:pPr>
      <w:keepNext/>
      <w:numPr>
        <w:numId w:val="23"/>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72799E"/>
    <w:rPr>
      <w:b w:val="0"/>
      <w:smallCaps/>
    </w:rPr>
  </w:style>
  <w:style w:type="paragraph" w:customStyle="1" w:styleId="ClosingPara">
    <w:name w:val="Closing Para"/>
    <w:basedOn w:val="Normal"/>
    <w:rsid w:val="0072799E"/>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72799E"/>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72799E"/>
    <w:pPr>
      <w:spacing w:before="480" w:after="480" w:line="300" w:lineRule="atLeast"/>
      <w:jc w:val="center"/>
    </w:pPr>
    <w:rPr>
      <w:rFonts w:ascii="Arial" w:eastAsia="Arial Unicode MS" w:hAnsi="Arial" w:cs="Arial"/>
      <w:b/>
      <w:smallCaps/>
      <w:color w:val="000000"/>
      <w:sz w:val="28"/>
      <w:szCs w:val="20"/>
    </w:rPr>
  </w:style>
  <w:style w:type="paragraph" w:customStyle="1" w:styleId="CoverSheetHeading">
    <w:name w:val="Cover Sheet Heading"/>
    <w:aliases w:val="Coversheet Title2"/>
    <w:basedOn w:val="CoversheetTitle"/>
    <w:rsid w:val="0072799E"/>
  </w:style>
  <w:style w:type="paragraph" w:customStyle="1" w:styleId="CoverSheetSubjectText">
    <w:name w:val="Cover Sheet Subject Text"/>
    <w:basedOn w:val="Normal"/>
    <w:rsid w:val="0072799E"/>
    <w:pPr>
      <w:spacing w:after="0"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72799E"/>
    <w:pPr>
      <w:spacing w:after="0"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72799E"/>
    <w:pPr>
      <w:numPr>
        <w:numId w:val="24"/>
      </w:numPr>
    </w:pPr>
  </w:style>
  <w:style w:type="paragraph" w:customStyle="1" w:styleId="DescriptiveHeading">
    <w:name w:val="DescriptiveHeading"/>
    <w:next w:val="Paragraph"/>
    <w:link w:val="DescriptiveHeadingChar"/>
    <w:rsid w:val="0072799E"/>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72799E"/>
    <w:rPr>
      <w:rFonts w:ascii="Arial" w:eastAsia="Arial Unicode MS" w:hAnsi="Arial" w:cs="Arial"/>
      <w:b/>
      <w:color w:val="000000"/>
      <w:lang w:val="en-US" w:eastAsia="en-US"/>
    </w:rPr>
  </w:style>
  <w:style w:type="paragraph" w:customStyle="1" w:styleId="DraftingnoteSection1Para">
    <w:name w:val="Draftingnote Section1 Para"/>
    <w:basedOn w:val="Normal"/>
    <w:rsid w:val="0072799E"/>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72799E"/>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72799E"/>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72799E"/>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72799E"/>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72799E"/>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72799E"/>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72799E"/>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72799E"/>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72799E"/>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72799E"/>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72799E"/>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72799E"/>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72799E"/>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72799E"/>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72799E"/>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72799E"/>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72799E"/>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72799E"/>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72799E"/>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72799E"/>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72799E"/>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72799E"/>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72799E"/>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72799E"/>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72799E"/>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72799E"/>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72799E"/>
    <w:rPr>
      <w:rFonts w:ascii="Arial" w:eastAsia="Arial Unicode MS" w:hAnsi="Arial" w:cs="Arial"/>
      <w:color w:val="000000"/>
      <w:sz w:val="24"/>
      <w:lang w:val="en-US" w:eastAsia="en-US"/>
    </w:rPr>
  </w:style>
  <w:style w:type="paragraph" w:customStyle="1" w:styleId="MaintenanceEditor">
    <w:name w:val="Maintenance Editor"/>
    <w:link w:val="MaintenanceEditorChar"/>
    <w:rsid w:val="0072799E"/>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72799E"/>
    <w:rPr>
      <w:rFonts w:ascii="Arial" w:eastAsia="Arial Unicode MS" w:hAnsi="Arial" w:cs="Arial"/>
      <w:color w:val="000000"/>
      <w:sz w:val="24"/>
      <w:lang w:val="en-US" w:eastAsia="en-US"/>
    </w:rPr>
  </w:style>
  <w:style w:type="paragraph" w:customStyle="1" w:styleId="ParaClause">
    <w:name w:val="Para Clause"/>
    <w:basedOn w:val="Normal"/>
    <w:rsid w:val="0072799E"/>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72799E"/>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72799E"/>
    <w:pPr>
      <w:numPr>
        <w:ilvl w:val="1"/>
        <w:numId w:val="23"/>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72799E"/>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72799E"/>
    <w:pPr>
      <w:numPr>
        <w:ilvl w:val="2"/>
        <w:numId w:val="23"/>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72799E"/>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72799E"/>
    <w:pPr>
      <w:numPr>
        <w:ilvl w:val="3"/>
        <w:numId w:val="23"/>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72799E"/>
    <w:pPr>
      <w:spacing w:after="240"/>
      <w:ind w:left="3028"/>
    </w:pPr>
  </w:style>
  <w:style w:type="paragraph" w:customStyle="1" w:styleId="Untitledsubclause4">
    <w:name w:val="Untitled subclause 4"/>
    <w:basedOn w:val="Normal"/>
    <w:rsid w:val="0072799E"/>
    <w:pPr>
      <w:numPr>
        <w:ilvl w:val="4"/>
        <w:numId w:val="23"/>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72799E"/>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rsid w:val="0072799E"/>
    <w:pPr>
      <w:numPr>
        <w:numId w:val="5"/>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72799E"/>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72799E"/>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72799E"/>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72799E"/>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72799E"/>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72799E"/>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72799E"/>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72799E"/>
    <w:rPr>
      <w:rFonts w:ascii="Arial" w:eastAsia="Arial Unicode MS" w:hAnsi="Arial" w:cs="Arial"/>
      <w:b/>
      <w:bCs/>
      <w:color w:val="000000"/>
      <w:sz w:val="24"/>
      <w:lang w:val="en-US" w:eastAsia="en-US"/>
    </w:rPr>
  </w:style>
  <w:style w:type="paragraph" w:customStyle="1" w:styleId="ResourceType">
    <w:name w:val="Resource Type"/>
    <w:link w:val="ResourceTypeChar"/>
    <w:rsid w:val="0072799E"/>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72799E"/>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72799E"/>
    <w:pPr>
      <w:numPr>
        <w:numId w:val="6"/>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72799E"/>
    <w:pPr>
      <w:keepNext/>
      <w:pageBreakBefore/>
      <w:numPr>
        <w:numId w:val="7"/>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72799E"/>
    <w:pPr>
      <w:tabs>
        <w:tab w:val="left" w:pos="709"/>
      </w:tabs>
      <w:spacing w:before="120" w:after="120" w:line="300" w:lineRule="atLeast"/>
      <w:jc w:val="both"/>
    </w:pPr>
    <w:rPr>
      <w:rFonts w:ascii="Arial" w:eastAsia="Arial Unicode MS" w:hAnsi="Arial" w:cs="Arial"/>
      <w:b/>
      <w:smallCaps/>
      <w:color w:val="000000"/>
      <w:szCs w:val="20"/>
    </w:rPr>
  </w:style>
  <w:style w:type="paragraph" w:customStyle="1" w:styleId="Shortquestion">
    <w:name w:val="Shortquestion"/>
    <w:basedOn w:val="Normal"/>
    <w:rsid w:val="0072799E"/>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72799E"/>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72799E"/>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72799E"/>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72799E"/>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72799E"/>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72799E"/>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72799E"/>
    <w:rPr>
      <w:rFonts w:ascii="Arial" w:eastAsia="Arial Unicode MS" w:hAnsi="Arial" w:cs="Arial"/>
      <w:color w:val="000000"/>
      <w:sz w:val="24"/>
      <w:szCs w:val="24"/>
      <w:lang w:val="en-US" w:eastAsia="en-US"/>
    </w:rPr>
  </w:style>
  <w:style w:type="paragraph" w:styleId="Title">
    <w:name w:val="Title"/>
    <w:link w:val="TitleChar"/>
    <w:rsid w:val="0072799E"/>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72799E"/>
    <w:rPr>
      <w:rFonts w:ascii="Arial" w:eastAsia="Arial Unicode MS" w:hAnsi="Arial" w:cs="Arial"/>
      <w:color w:val="000000"/>
      <w:sz w:val="24"/>
      <w:lang w:val="en-US" w:eastAsia="en-US"/>
    </w:rPr>
  </w:style>
  <w:style w:type="paragraph" w:styleId="Footer">
    <w:name w:val="footer"/>
    <w:basedOn w:val="Normal"/>
    <w:link w:val="FooterChar"/>
    <w:rsid w:val="0072799E"/>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72799E"/>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72799E"/>
    <w:rPr>
      <w:i/>
      <w:color w:val="000000"/>
      <w:u w:val="single"/>
    </w:rPr>
  </w:style>
  <w:style w:type="paragraph" w:customStyle="1" w:styleId="Bullet4">
    <w:name w:val="Bullet4"/>
    <w:basedOn w:val="Normal"/>
    <w:rsid w:val="0072799E"/>
    <w:pPr>
      <w:numPr>
        <w:numId w:val="8"/>
      </w:numPr>
      <w:spacing w:after="240" w:line="240" w:lineRule="auto"/>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72799E"/>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72799E"/>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72799E"/>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72799E"/>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72799E"/>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72799E"/>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72799E"/>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iPriority w:val="99"/>
    <w:unhideWhenUsed/>
    <w:rsid w:val="0072799E"/>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72799E"/>
    <w:rPr>
      <w:color w:val="000000"/>
    </w:rPr>
  </w:style>
  <w:style w:type="character" w:styleId="PlaceholderText">
    <w:name w:val="Placeholder Text"/>
    <w:basedOn w:val="DefaultParagraphFont"/>
    <w:uiPriority w:val="99"/>
    <w:rsid w:val="0072799E"/>
    <w:rPr>
      <w:color w:val="000000"/>
    </w:rPr>
  </w:style>
  <w:style w:type="paragraph" w:styleId="BalloonText">
    <w:name w:val="Balloon Text"/>
    <w:basedOn w:val="Normal"/>
    <w:link w:val="BalloonTextChar"/>
    <w:uiPriority w:val="99"/>
    <w:semiHidden/>
    <w:unhideWhenUsed/>
    <w:rsid w:val="0072799E"/>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72799E"/>
    <w:rPr>
      <w:rFonts w:ascii="Tahoma" w:hAnsi="Tahoma" w:cs="Tahoma"/>
      <w:color w:val="000000"/>
      <w:sz w:val="16"/>
      <w:szCs w:val="16"/>
    </w:rPr>
  </w:style>
  <w:style w:type="paragraph" w:customStyle="1" w:styleId="PinPointRef">
    <w:name w:val="PinPoint Ref"/>
    <w:link w:val="PinPointRefChar"/>
    <w:qFormat/>
    <w:rsid w:val="0072799E"/>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72799E"/>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72799E"/>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72799E"/>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72799E"/>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72799E"/>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72799E"/>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72799E"/>
    <w:rPr>
      <w:rFonts w:ascii="Arial" w:eastAsia="Arial Unicode MS" w:hAnsi="Arial" w:cs="Arial"/>
      <w:color w:val="000000"/>
      <w:szCs w:val="24"/>
      <w:lang w:val="en-US" w:eastAsia="en-US"/>
    </w:rPr>
  </w:style>
  <w:style w:type="paragraph" w:customStyle="1" w:styleId="IntroDefault">
    <w:name w:val="Intro Default"/>
    <w:basedOn w:val="Paragraph"/>
    <w:qFormat/>
    <w:rsid w:val="0072799E"/>
  </w:style>
  <w:style w:type="paragraph" w:customStyle="1" w:styleId="IntroCustom">
    <w:name w:val="Intro Custom"/>
    <w:basedOn w:val="Paragraph"/>
    <w:qFormat/>
    <w:rsid w:val="0072799E"/>
  </w:style>
  <w:style w:type="paragraph" w:customStyle="1" w:styleId="PrecedentType">
    <w:name w:val="Precedent Type"/>
    <w:basedOn w:val="IgnoredSpacing"/>
    <w:qFormat/>
    <w:rsid w:val="0072799E"/>
  </w:style>
  <w:style w:type="paragraph" w:customStyle="1" w:styleId="Operative">
    <w:name w:val="Operative"/>
    <w:basedOn w:val="IgnoredSpacing"/>
    <w:qFormat/>
    <w:rsid w:val="0072799E"/>
    <w:rPr>
      <w:vanish/>
    </w:rPr>
  </w:style>
  <w:style w:type="paragraph" w:customStyle="1" w:styleId="SpeedreadBulletList1">
    <w:name w:val="Speedread Bullet List 1"/>
    <w:basedOn w:val="BulletList1"/>
    <w:qFormat/>
    <w:rsid w:val="0072799E"/>
  </w:style>
  <w:style w:type="paragraph" w:customStyle="1" w:styleId="PartiesTitle">
    <w:name w:val="Parties Title"/>
    <w:basedOn w:val="Paragraph"/>
    <w:qFormat/>
    <w:rsid w:val="0072799E"/>
    <w:rPr>
      <w:b/>
    </w:rPr>
  </w:style>
  <w:style w:type="table" w:styleId="TableGrid">
    <w:name w:val="Table Grid"/>
    <w:basedOn w:val="TableNormal"/>
    <w:rsid w:val="0072799E"/>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72799E"/>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72799E"/>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72799E"/>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72799E"/>
    <w:pPr>
      <w:shd w:val="clear" w:color="auto" w:fill="D9D9D9" w:themeFill="background1" w:themeFillShade="D9"/>
      <w:ind w:left="1077"/>
    </w:pPr>
  </w:style>
  <w:style w:type="paragraph" w:customStyle="1" w:styleId="TestimoniumContract">
    <w:name w:val="Testimonium Contract"/>
    <w:basedOn w:val="Paragraph"/>
    <w:qFormat/>
    <w:rsid w:val="0072799E"/>
  </w:style>
  <w:style w:type="paragraph" w:customStyle="1" w:styleId="TestimoniumDeed">
    <w:name w:val="Testimonium Deed"/>
    <w:basedOn w:val="Paragraph"/>
    <w:qFormat/>
    <w:rsid w:val="0072799E"/>
  </w:style>
  <w:style w:type="paragraph" w:customStyle="1" w:styleId="Titlesubclause2">
    <w:name w:val="Title subclause2"/>
    <w:basedOn w:val="Untitledsubclause2"/>
    <w:qFormat/>
    <w:rsid w:val="0072799E"/>
    <w:rPr>
      <w:b/>
    </w:rPr>
  </w:style>
  <w:style w:type="paragraph" w:customStyle="1" w:styleId="Titlesubclause3">
    <w:name w:val="Title subclause3"/>
    <w:basedOn w:val="Untitledsubclause3"/>
    <w:qFormat/>
    <w:rsid w:val="0072799E"/>
    <w:rPr>
      <w:b/>
    </w:rPr>
  </w:style>
  <w:style w:type="paragraph" w:customStyle="1" w:styleId="Titlesubclause4">
    <w:name w:val="Title subclause4"/>
    <w:basedOn w:val="Untitledsubclause4"/>
    <w:qFormat/>
    <w:rsid w:val="0072799E"/>
    <w:rPr>
      <w:b/>
    </w:rPr>
  </w:style>
  <w:style w:type="paragraph" w:customStyle="1" w:styleId="UntitledClause">
    <w:name w:val="Untitled Clause"/>
    <w:basedOn w:val="TitleClause"/>
    <w:qFormat/>
    <w:rsid w:val="0072799E"/>
    <w:pPr>
      <w:spacing w:before="120"/>
    </w:pPr>
    <w:rPr>
      <w:b w:val="0"/>
    </w:rPr>
  </w:style>
  <w:style w:type="paragraph" w:customStyle="1" w:styleId="Titlesubclause1">
    <w:name w:val="Title subclause1"/>
    <w:basedOn w:val="Untitledsubclause1"/>
    <w:qFormat/>
    <w:rsid w:val="0072799E"/>
    <w:pPr>
      <w:spacing w:before="120"/>
    </w:pPr>
    <w:rPr>
      <w:b/>
    </w:rPr>
  </w:style>
  <w:style w:type="paragraph" w:customStyle="1" w:styleId="Schedule">
    <w:name w:val="Schedule"/>
    <w:qFormat/>
    <w:rsid w:val="0072799E"/>
    <w:pPr>
      <w:numPr>
        <w:numId w:val="22"/>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72799E"/>
    <w:rPr>
      <w:rFonts w:asciiTheme="majorHAnsi" w:eastAsiaTheme="majorEastAsia" w:hAnsiTheme="majorHAnsi" w:cstheme="majorBidi"/>
      <w:b/>
      <w:bCs/>
      <w:color w:val="000000"/>
      <w:kern w:val="2"/>
      <w:sz w:val="28"/>
      <w:szCs w:val="28"/>
      <w:lang w:eastAsia="en-US"/>
      <w14:ligatures w14:val="standardContextual"/>
    </w:rPr>
  </w:style>
  <w:style w:type="character" w:customStyle="1" w:styleId="Heading2Char">
    <w:name w:val="Heading 2 Char"/>
    <w:basedOn w:val="DefaultParagraphFont"/>
    <w:link w:val="Heading2"/>
    <w:uiPriority w:val="9"/>
    <w:semiHidden/>
    <w:rsid w:val="0072799E"/>
    <w:rPr>
      <w:rFonts w:asciiTheme="majorHAnsi" w:eastAsiaTheme="majorEastAsia" w:hAnsiTheme="majorHAnsi" w:cstheme="majorBidi"/>
      <w:b/>
      <w:bCs/>
      <w:color w:val="000000"/>
      <w:kern w:val="2"/>
      <w:sz w:val="26"/>
      <w:szCs w:val="26"/>
      <w:lang w:eastAsia="en-US"/>
      <w14:ligatures w14:val="standardContextual"/>
    </w:rPr>
  </w:style>
  <w:style w:type="character" w:customStyle="1" w:styleId="Heading3Char">
    <w:name w:val="Heading 3 Char"/>
    <w:basedOn w:val="DefaultParagraphFont"/>
    <w:link w:val="Heading3"/>
    <w:uiPriority w:val="9"/>
    <w:semiHidden/>
    <w:rsid w:val="0072799E"/>
    <w:rPr>
      <w:rFonts w:asciiTheme="majorHAnsi" w:eastAsiaTheme="majorEastAsia" w:hAnsiTheme="majorHAnsi" w:cstheme="majorBidi"/>
      <w:b/>
      <w:bCs/>
      <w:color w:val="000000"/>
      <w:kern w:val="2"/>
      <w:sz w:val="24"/>
      <w:szCs w:val="24"/>
      <w:lang w:eastAsia="en-US"/>
      <w14:ligatures w14:val="standardContextual"/>
    </w:rPr>
  </w:style>
  <w:style w:type="character" w:customStyle="1" w:styleId="Heading4Char">
    <w:name w:val="Heading 4 Char"/>
    <w:basedOn w:val="DefaultParagraphFont"/>
    <w:link w:val="Heading4"/>
    <w:uiPriority w:val="9"/>
    <w:semiHidden/>
    <w:rsid w:val="0072799E"/>
    <w:rPr>
      <w:rFonts w:asciiTheme="majorHAnsi" w:eastAsiaTheme="majorEastAsia" w:hAnsiTheme="majorHAnsi" w:cstheme="majorBidi"/>
      <w:b/>
      <w:bCs/>
      <w:i/>
      <w:iCs/>
      <w:color w:val="000000"/>
      <w:kern w:val="2"/>
      <w:sz w:val="24"/>
      <w:szCs w:val="24"/>
      <w:lang w:eastAsia="en-US"/>
      <w14:ligatures w14:val="standardContextual"/>
    </w:rPr>
  </w:style>
  <w:style w:type="character" w:customStyle="1" w:styleId="Heading5Char">
    <w:name w:val="Heading 5 Char"/>
    <w:basedOn w:val="DefaultParagraphFont"/>
    <w:link w:val="Heading5"/>
    <w:uiPriority w:val="9"/>
    <w:semiHidden/>
    <w:rsid w:val="0072799E"/>
    <w:rPr>
      <w:rFonts w:asciiTheme="majorHAnsi" w:eastAsiaTheme="majorEastAsia" w:hAnsiTheme="majorHAnsi" w:cstheme="majorBidi"/>
      <w:color w:val="000000"/>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72799E"/>
    <w:rPr>
      <w:rFonts w:asciiTheme="majorHAnsi" w:eastAsiaTheme="majorEastAsia" w:hAnsiTheme="majorHAnsi" w:cstheme="majorBidi"/>
      <w:i/>
      <w:iCs/>
      <w:color w:val="000000"/>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72799E"/>
    <w:rPr>
      <w:rFonts w:asciiTheme="majorHAnsi" w:eastAsiaTheme="majorEastAsia" w:hAnsiTheme="majorHAnsi" w:cstheme="majorBidi"/>
      <w:i/>
      <w:iCs/>
      <w:color w:val="000000"/>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72799E"/>
    <w:rPr>
      <w:rFonts w:asciiTheme="majorHAnsi" w:eastAsiaTheme="majorEastAsia" w:hAnsiTheme="majorHAnsi" w:cstheme="majorBidi"/>
      <w:color w:val="000000"/>
      <w:kern w:val="2"/>
      <w:sz w:val="20"/>
      <w:szCs w:val="20"/>
      <w:lang w:eastAsia="en-US"/>
      <w14:ligatures w14:val="standardContextual"/>
    </w:rPr>
  </w:style>
  <w:style w:type="character" w:customStyle="1" w:styleId="Heading9Char">
    <w:name w:val="Heading 9 Char"/>
    <w:basedOn w:val="DefaultParagraphFont"/>
    <w:link w:val="Heading9"/>
    <w:uiPriority w:val="9"/>
    <w:semiHidden/>
    <w:rsid w:val="0072799E"/>
    <w:rPr>
      <w:rFonts w:asciiTheme="majorHAnsi" w:eastAsiaTheme="majorEastAsia" w:hAnsiTheme="majorHAnsi" w:cstheme="majorBidi"/>
      <w:i/>
      <w:iCs/>
      <w:color w:val="000000"/>
      <w:kern w:val="2"/>
      <w:sz w:val="20"/>
      <w:szCs w:val="20"/>
      <w:lang w:eastAsia="en-US"/>
      <w14:ligatures w14:val="standardContextual"/>
    </w:rPr>
  </w:style>
  <w:style w:type="paragraph" w:customStyle="1" w:styleId="ScheduleTitle">
    <w:name w:val="Schedule Title"/>
    <w:basedOn w:val="Paragraph"/>
    <w:qFormat/>
    <w:rsid w:val="0072799E"/>
    <w:rPr>
      <w:b/>
    </w:rPr>
  </w:style>
  <w:style w:type="paragraph" w:customStyle="1" w:styleId="Part">
    <w:name w:val="Part"/>
    <w:basedOn w:val="Paragraph"/>
    <w:qFormat/>
    <w:rsid w:val="0072799E"/>
    <w:pPr>
      <w:numPr>
        <w:ilvl w:val="1"/>
        <w:numId w:val="22"/>
      </w:numPr>
      <w:spacing w:before="240" w:after="240"/>
      <w:jc w:val="left"/>
    </w:pPr>
    <w:rPr>
      <w:b/>
    </w:rPr>
  </w:style>
  <w:style w:type="paragraph" w:customStyle="1" w:styleId="AnnexTitle">
    <w:name w:val="Annex Title"/>
    <w:basedOn w:val="Paragraph"/>
    <w:next w:val="Paragraph"/>
    <w:qFormat/>
    <w:rsid w:val="0072799E"/>
    <w:pPr>
      <w:spacing w:before="240" w:after="240"/>
    </w:pPr>
    <w:rPr>
      <w:b/>
    </w:rPr>
  </w:style>
  <w:style w:type="paragraph" w:customStyle="1" w:styleId="PartTitle">
    <w:name w:val="Part Title"/>
    <w:basedOn w:val="Paragraph"/>
    <w:qFormat/>
    <w:rsid w:val="0072799E"/>
    <w:rPr>
      <w:b/>
    </w:rPr>
  </w:style>
  <w:style w:type="paragraph" w:customStyle="1" w:styleId="Testimonium">
    <w:name w:val="Testimonium"/>
    <w:basedOn w:val="Paragraph"/>
    <w:qFormat/>
    <w:rsid w:val="0072799E"/>
  </w:style>
  <w:style w:type="character" w:customStyle="1" w:styleId="apple-converted-space">
    <w:name w:val="apple-converted-space"/>
    <w:basedOn w:val="DefaultParagraphFont"/>
    <w:rsid w:val="0072799E"/>
    <w:rPr>
      <w:color w:val="000000"/>
    </w:rPr>
  </w:style>
  <w:style w:type="character" w:styleId="Emphasis">
    <w:name w:val="Emphasis"/>
    <w:basedOn w:val="DefaultParagraphFont"/>
    <w:uiPriority w:val="20"/>
    <w:qFormat/>
    <w:rsid w:val="0072799E"/>
    <w:rPr>
      <w:i/>
      <w:iCs/>
      <w:color w:val="000000"/>
    </w:rPr>
  </w:style>
  <w:style w:type="paragraph" w:customStyle="1" w:styleId="NoNumTitle-Clause">
    <w:name w:val="No Num Title - Clause"/>
    <w:basedOn w:val="TitleClause"/>
    <w:qFormat/>
    <w:rsid w:val="0072799E"/>
    <w:pPr>
      <w:numPr>
        <w:numId w:val="0"/>
      </w:numPr>
      <w:ind w:left="720"/>
    </w:pPr>
  </w:style>
  <w:style w:type="paragraph" w:customStyle="1" w:styleId="NoNumTitlesubclause1">
    <w:name w:val="No Num Title subclause1"/>
    <w:basedOn w:val="Titlesubclause1"/>
    <w:qFormat/>
    <w:rsid w:val="0072799E"/>
    <w:pPr>
      <w:numPr>
        <w:ilvl w:val="0"/>
        <w:numId w:val="0"/>
      </w:numPr>
      <w:ind w:left="720"/>
    </w:pPr>
  </w:style>
  <w:style w:type="paragraph" w:customStyle="1" w:styleId="AddressLine">
    <w:name w:val="Address Line"/>
    <w:basedOn w:val="Paragraph"/>
    <w:qFormat/>
    <w:rsid w:val="0072799E"/>
  </w:style>
  <w:style w:type="paragraph" w:styleId="Date">
    <w:name w:val="Date"/>
    <w:basedOn w:val="Paragraph"/>
    <w:qFormat/>
    <w:rsid w:val="0072799E"/>
  </w:style>
  <w:style w:type="paragraph" w:customStyle="1" w:styleId="SalutationPara">
    <w:name w:val="Salutation Para"/>
    <w:basedOn w:val="Paragraph"/>
    <w:next w:val="Paragraph"/>
    <w:qFormat/>
    <w:rsid w:val="0072799E"/>
    <w:pPr>
      <w:spacing w:before="240"/>
    </w:pPr>
  </w:style>
  <w:style w:type="character" w:styleId="FollowedHyperlink">
    <w:name w:val="FollowedHyperlink"/>
    <w:basedOn w:val="DefaultParagraphFont"/>
    <w:uiPriority w:val="99"/>
    <w:semiHidden/>
    <w:unhideWhenUsed/>
    <w:rsid w:val="0072799E"/>
    <w:rPr>
      <w:i/>
      <w:color w:val="000000"/>
      <w:u w:val="single"/>
    </w:rPr>
  </w:style>
  <w:style w:type="character" w:customStyle="1" w:styleId="DefTerm">
    <w:name w:val="DefTerm"/>
    <w:basedOn w:val="DefaultParagraphFont"/>
    <w:uiPriority w:val="1"/>
    <w:qFormat/>
    <w:rsid w:val="0072799E"/>
    <w:rPr>
      <w:b/>
      <w:color w:val="000000"/>
    </w:rPr>
  </w:style>
  <w:style w:type="table" w:customStyle="1" w:styleId="ShadedTable">
    <w:name w:val="Shaded Table"/>
    <w:basedOn w:val="TableNormal"/>
    <w:uiPriority w:val="99"/>
    <w:rsid w:val="0072799E"/>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72799E"/>
    <w:rPr>
      <w:i/>
    </w:rPr>
  </w:style>
  <w:style w:type="paragraph" w:customStyle="1" w:styleId="LetterTitle">
    <w:name w:val="Letter Title"/>
    <w:basedOn w:val="Paragraph"/>
    <w:qFormat/>
    <w:rsid w:val="0072799E"/>
    <w:rPr>
      <w:b/>
    </w:rPr>
  </w:style>
  <w:style w:type="paragraph" w:customStyle="1" w:styleId="LongQuestionPara">
    <w:name w:val="Long Question Para"/>
    <w:basedOn w:val="Paragraph"/>
    <w:link w:val="LongQuestionParaChar"/>
    <w:rsid w:val="0072799E"/>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72799E"/>
    <w:rPr>
      <w:rFonts w:ascii="Arial" w:eastAsia="Arial Unicode MS" w:hAnsi="Arial" w:cs="Arial"/>
      <w:color w:val="000000"/>
      <w:kern w:val="2"/>
      <w:sz w:val="20"/>
      <w:szCs w:val="20"/>
      <w:lang w:val="en-US" w:eastAsia="en-US"/>
      <w14:ligatures w14:val="standardContextual"/>
    </w:rPr>
  </w:style>
  <w:style w:type="paragraph" w:customStyle="1" w:styleId="ShortQuestionPara">
    <w:name w:val="Short Question Para"/>
    <w:basedOn w:val="Paragraph"/>
    <w:link w:val="ShortQuestionParaChar"/>
    <w:rsid w:val="0072799E"/>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72799E"/>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72799E"/>
    <w:rPr>
      <w:rFonts w:ascii="Arial" w:eastAsia="Arial Unicode MS" w:hAnsi="Arial" w:cs="Arial"/>
      <w:color w:val="000000"/>
      <w:szCs w:val="20"/>
      <w:lang w:eastAsia="en-US"/>
    </w:rPr>
  </w:style>
  <w:style w:type="paragraph" w:customStyle="1" w:styleId="811D3A974D454A258B71E3C4DE24C4F210">
    <w:name w:val="811D3A974D454A258B71E3C4DE24C4F210"/>
    <w:rsid w:val="00CF5DFE"/>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72799E"/>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72799E"/>
    <w:pPr>
      <w:jc w:val="center"/>
    </w:pPr>
    <w:rPr>
      <w:sz w:val="28"/>
    </w:rPr>
  </w:style>
  <w:style w:type="paragraph" w:customStyle="1" w:styleId="Title-Clause">
    <w:name w:val="Title - Clause"/>
    <w:aliases w:val="BIWS Heading 1"/>
    <w:basedOn w:val="Normal"/>
    <w:rsid w:val="0072799E"/>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72799E"/>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72799E"/>
    <w:pPr>
      <w:spacing w:before="120"/>
    </w:pPr>
    <w:rPr>
      <w:b w:val="0"/>
    </w:rPr>
  </w:style>
  <w:style w:type="paragraph" w:customStyle="1" w:styleId="CoversheetParagraph">
    <w:name w:val="Coversheet Paragraph"/>
    <w:basedOn w:val="Normal"/>
    <w:autoRedefine/>
    <w:rsid w:val="0072799E"/>
    <w:pPr>
      <w:spacing w:after="0"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72799E"/>
    <w:rPr>
      <w:smallCaps w:val="0"/>
      <w:sz w:val="22"/>
    </w:rPr>
  </w:style>
  <w:style w:type="paragraph" w:customStyle="1" w:styleId="CoversheetStaticText">
    <w:name w:val="Coversheet Static Text"/>
    <w:basedOn w:val="CoversheetIntro"/>
    <w:qFormat/>
    <w:rsid w:val="0072799E"/>
    <w:rPr>
      <w:b w:val="0"/>
    </w:rPr>
  </w:style>
  <w:style w:type="paragraph" w:customStyle="1" w:styleId="CoversheetParty">
    <w:name w:val="Coversheet Party"/>
    <w:basedOn w:val="CoversheetIntro"/>
    <w:qFormat/>
    <w:rsid w:val="0072799E"/>
  </w:style>
  <w:style w:type="paragraph" w:customStyle="1" w:styleId="NoNumUntitledClause">
    <w:name w:val="No Num Untitled Clause"/>
    <w:basedOn w:val="UntitledClause"/>
    <w:qFormat/>
    <w:rsid w:val="0072799E"/>
    <w:pPr>
      <w:numPr>
        <w:numId w:val="0"/>
      </w:numPr>
      <w:ind w:left="720"/>
    </w:pPr>
  </w:style>
  <w:style w:type="paragraph" w:customStyle="1" w:styleId="BackgroundSubclause1">
    <w:name w:val="Background Subclause1"/>
    <w:basedOn w:val="Background"/>
    <w:qFormat/>
    <w:rsid w:val="0072799E"/>
    <w:pPr>
      <w:numPr>
        <w:ilvl w:val="1"/>
      </w:numPr>
    </w:pPr>
  </w:style>
  <w:style w:type="paragraph" w:customStyle="1" w:styleId="BackgroundSubclause2">
    <w:name w:val="Background Subclause2"/>
    <w:basedOn w:val="Background"/>
    <w:qFormat/>
    <w:rsid w:val="0072799E"/>
    <w:pPr>
      <w:numPr>
        <w:ilvl w:val="3"/>
      </w:numPr>
    </w:pPr>
  </w:style>
  <w:style w:type="paragraph" w:customStyle="1" w:styleId="HeadingLevel2CQA">
    <w:name w:val="Heading Level 2 CQA"/>
    <w:basedOn w:val="HeadingLevel2"/>
    <w:qFormat/>
    <w:rsid w:val="0072799E"/>
  </w:style>
  <w:style w:type="paragraph" w:customStyle="1" w:styleId="ClauseBullet1">
    <w:name w:val="Clause Bullet 1"/>
    <w:basedOn w:val="ParaClause"/>
    <w:qFormat/>
    <w:rsid w:val="0072799E"/>
    <w:pPr>
      <w:numPr>
        <w:numId w:val="13"/>
      </w:numPr>
      <w:ind w:left="1077" w:hanging="357"/>
      <w:outlineLvl w:val="0"/>
    </w:pPr>
  </w:style>
  <w:style w:type="paragraph" w:customStyle="1" w:styleId="ClauseBullet2">
    <w:name w:val="Clause Bullet 2"/>
    <w:basedOn w:val="ParaClause"/>
    <w:qFormat/>
    <w:rsid w:val="0072799E"/>
    <w:pPr>
      <w:numPr>
        <w:numId w:val="14"/>
      </w:numPr>
      <w:ind w:left="1434" w:hanging="357"/>
      <w:outlineLvl w:val="1"/>
    </w:pPr>
  </w:style>
  <w:style w:type="paragraph" w:customStyle="1" w:styleId="subclause1Bullet1">
    <w:name w:val="subclause 1 Bullet 1"/>
    <w:basedOn w:val="Parasubclause1"/>
    <w:qFormat/>
    <w:rsid w:val="0072799E"/>
    <w:pPr>
      <w:numPr>
        <w:numId w:val="15"/>
      </w:numPr>
      <w:ind w:left="1077" w:hanging="357"/>
    </w:pPr>
  </w:style>
  <w:style w:type="paragraph" w:customStyle="1" w:styleId="subclause2Bullet1">
    <w:name w:val="subclause 2 Bullet 1"/>
    <w:basedOn w:val="Parasubclause2"/>
    <w:qFormat/>
    <w:rsid w:val="0072799E"/>
    <w:pPr>
      <w:numPr>
        <w:numId w:val="17"/>
      </w:numPr>
      <w:ind w:left="1434" w:hanging="357"/>
    </w:pPr>
  </w:style>
  <w:style w:type="paragraph" w:customStyle="1" w:styleId="subclause3Bullet1">
    <w:name w:val="subclause 3 Bullet 1"/>
    <w:basedOn w:val="Parasubclause3"/>
    <w:qFormat/>
    <w:rsid w:val="0072799E"/>
    <w:pPr>
      <w:numPr>
        <w:numId w:val="16"/>
      </w:numPr>
      <w:ind w:left="2273" w:hanging="357"/>
    </w:pPr>
  </w:style>
  <w:style w:type="paragraph" w:customStyle="1" w:styleId="subclause1Bullet2">
    <w:name w:val="subclause 1 Bullet 2"/>
    <w:basedOn w:val="Parasubclause1"/>
    <w:qFormat/>
    <w:rsid w:val="0072799E"/>
    <w:pPr>
      <w:numPr>
        <w:numId w:val="18"/>
      </w:numPr>
      <w:ind w:left="1434" w:hanging="357"/>
    </w:pPr>
  </w:style>
  <w:style w:type="paragraph" w:customStyle="1" w:styleId="subclause2Bullet2">
    <w:name w:val="subclause 2 Bullet 2"/>
    <w:basedOn w:val="Parasubclause2"/>
    <w:qFormat/>
    <w:rsid w:val="0072799E"/>
    <w:pPr>
      <w:numPr>
        <w:numId w:val="19"/>
      </w:numPr>
      <w:ind w:left="2273" w:hanging="357"/>
    </w:pPr>
  </w:style>
  <w:style w:type="paragraph" w:customStyle="1" w:styleId="subclause3Bullet2">
    <w:name w:val="subclause 3 Bullet 2"/>
    <w:basedOn w:val="Parasubclause3"/>
    <w:qFormat/>
    <w:rsid w:val="0072799E"/>
    <w:pPr>
      <w:numPr>
        <w:numId w:val="20"/>
      </w:numPr>
      <w:ind w:left="2982" w:hanging="357"/>
    </w:pPr>
  </w:style>
  <w:style w:type="paragraph" w:customStyle="1" w:styleId="DefinedTermBullet">
    <w:name w:val="Defined Term Bullet"/>
    <w:basedOn w:val="DefinedTermPara"/>
    <w:qFormat/>
    <w:rsid w:val="0072799E"/>
    <w:pPr>
      <w:numPr>
        <w:numId w:val="21"/>
      </w:numPr>
    </w:pPr>
  </w:style>
  <w:style w:type="paragraph" w:customStyle="1" w:styleId="DefinedTermNumber">
    <w:name w:val="Defined Term Number"/>
    <w:basedOn w:val="DefinedTermPara"/>
    <w:qFormat/>
    <w:rsid w:val="0072799E"/>
    <w:pPr>
      <w:numPr>
        <w:ilvl w:val="1"/>
      </w:numPr>
    </w:pPr>
  </w:style>
  <w:style w:type="paragraph" w:customStyle="1" w:styleId="AdditionalTitle">
    <w:name w:val="Additional Title"/>
    <w:basedOn w:val="Paragraph"/>
    <w:qFormat/>
    <w:rsid w:val="0072799E"/>
    <w:pPr>
      <w:jc w:val="left"/>
    </w:pPr>
    <w:rPr>
      <w:b/>
    </w:rPr>
  </w:style>
  <w:style w:type="character" w:customStyle="1" w:styleId="error">
    <w:name w:val="error"/>
    <w:basedOn w:val="DefaultParagraphFont"/>
    <w:rsid w:val="0072799E"/>
    <w:rPr>
      <w:color w:val="000000"/>
    </w:rPr>
  </w:style>
  <w:style w:type="paragraph" w:customStyle="1" w:styleId="NoNumUntitledsubclause1">
    <w:name w:val="No Num Untitled subclause 1"/>
    <w:basedOn w:val="Untitledsubclause1"/>
    <w:qFormat/>
    <w:rsid w:val="0072799E"/>
    <w:pPr>
      <w:numPr>
        <w:ilvl w:val="0"/>
        <w:numId w:val="0"/>
      </w:numPr>
      <w:ind w:left="720"/>
    </w:pPr>
  </w:style>
  <w:style w:type="paragraph" w:customStyle="1" w:styleId="BackgroundParaClause">
    <w:name w:val="Background Para Clause"/>
    <w:basedOn w:val="Background"/>
    <w:qFormat/>
    <w:rsid w:val="0072799E"/>
    <w:pPr>
      <w:numPr>
        <w:numId w:val="0"/>
      </w:numPr>
    </w:pPr>
  </w:style>
  <w:style w:type="paragraph" w:customStyle="1" w:styleId="BackgroundParaSubclause1">
    <w:name w:val="Background Para Subclause1"/>
    <w:basedOn w:val="BackgroundSubclause1"/>
    <w:qFormat/>
    <w:rsid w:val="0072799E"/>
    <w:pPr>
      <w:numPr>
        <w:ilvl w:val="0"/>
        <w:numId w:val="0"/>
      </w:numPr>
      <w:ind w:left="994"/>
    </w:pPr>
    <w:rPr>
      <w:lang w:val="en-US"/>
    </w:rPr>
  </w:style>
  <w:style w:type="paragraph" w:customStyle="1" w:styleId="BackgroundParaSubclause2">
    <w:name w:val="Background Para Subclause2"/>
    <w:basedOn w:val="BackgroundSubclause2"/>
    <w:qFormat/>
    <w:rsid w:val="0072799E"/>
    <w:pPr>
      <w:numPr>
        <w:ilvl w:val="0"/>
        <w:numId w:val="0"/>
      </w:numPr>
      <w:ind w:left="1701"/>
    </w:pPr>
    <w:rPr>
      <w:lang w:val="en-US"/>
    </w:rPr>
  </w:style>
  <w:style w:type="paragraph" w:customStyle="1" w:styleId="ClauseBulletPara">
    <w:name w:val="Clause Bullet Para"/>
    <w:basedOn w:val="ClauseBullet1"/>
    <w:qFormat/>
    <w:rsid w:val="0072799E"/>
    <w:pPr>
      <w:numPr>
        <w:numId w:val="0"/>
      </w:numPr>
      <w:ind w:left="1080"/>
    </w:pPr>
    <w:rPr>
      <w:lang w:val="en-US"/>
    </w:rPr>
  </w:style>
  <w:style w:type="paragraph" w:customStyle="1" w:styleId="ClauseBullet2Para">
    <w:name w:val="Clause Bullet 2 Para"/>
    <w:basedOn w:val="ClauseBullet2"/>
    <w:qFormat/>
    <w:rsid w:val="0072799E"/>
    <w:pPr>
      <w:numPr>
        <w:numId w:val="0"/>
      </w:numPr>
      <w:ind w:left="1440"/>
    </w:pPr>
    <w:rPr>
      <w:lang w:val="en-US"/>
    </w:rPr>
  </w:style>
  <w:style w:type="paragraph" w:customStyle="1" w:styleId="ACTJurisdictionCheckList">
    <w:name w:val="ACTJurisdictionCheckList"/>
    <w:basedOn w:val="Normal"/>
    <w:rsid w:val="0072799E"/>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72799E"/>
  </w:style>
  <w:style w:type="paragraph" w:customStyle="1" w:styleId="ScheduleTitleClause">
    <w:name w:val="Schedule Title Clause"/>
    <w:basedOn w:val="Normal"/>
    <w:rsid w:val="0072799E"/>
    <w:pPr>
      <w:keepNext/>
      <w:numPr>
        <w:ilvl w:val="2"/>
        <w:numId w:val="22"/>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72799E"/>
    <w:pPr>
      <w:numPr>
        <w:ilvl w:val="3"/>
        <w:numId w:val="22"/>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72799E"/>
    <w:pPr>
      <w:numPr>
        <w:ilvl w:val="4"/>
        <w:numId w:val="22"/>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72799E"/>
    <w:pPr>
      <w:numPr>
        <w:ilvl w:val="5"/>
        <w:numId w:val="2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72799E"/>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72799E"/>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72799E"/>
    <w:pPr>
      <w:shd w:val="clear" w:color="auto" w:fill="D9D9D9" w:themeFill="background1" w:themeFillShade="D9"/>
      <w:ind w:left="1077"/>
    </w:pPr>
  </w:style>
  <w:style w:type="paragraph" w:customStyle="1" w:styleId="ScheduleUntitledClause">
    <w:name w:val="Schedule Untitled Clause"/>
    <w:basedOn w:val="ScheduleTitleClause"/>
    <w:qFormat/>
    <w:rsid w:val="0072799E"/>
    <w:pPr>
      <w:spacing w:before="120"/>
    </w:pPr>
    <w:rPr>
      <w:b w:val="0"/>
    </w:rPr>
  </w:style>
  <w:style w:type="paragraph" w:customStyle="1" w:styleId="EmptyClausePara">
    <w:name w:val="Empty Clause Para"/>
    <w:basedOn w:val="IgnoredSpacing"/>
    <w:qFormat/>
    <w:rsid w:val="0072799E"/>
  </w:style>
  <w:style w:type="paragraph" w:styleId="ListParagraph">
    <w:name w:val="List Paragraph"/>
    <w:basedOn w:val="Normal"/>
    <w:uiPriority w:val="34"/>
    <w:qFormat/>
    <w:rsid w:val="0072799E"/>
    <w:pPr>
      <w:ind w:left="720"/>
      <w:contextualSpacing/>
    </w:pPr>
    <w:rPr>
      <w:color w:val="000000"/>
    </w:rPr>
  </w:style>
  <w:style w:type="paragraph" w:customStyle="1" w:styleId="ScheduleTitlesubclause1">
    <w:name w:val="Schedule Title subclause1"/>
    <w:basedOn w:val="ScheduleUntitledsubclause1"/>
    <w:qFormat/>
    <w:rsid w:val="0072799E"/>
    <w:pPr>
      <w:spacing w:before="120"/>
    </w:pPr>
    <w:rPr>
      <w:b/>
    </w:rPr>
  </w:style>
  <w:style w:type="paragraph" w:customStyle="1" w:styleId="835FF0B0D5344FE4A8EE41F54AA7E17C16">
    <w:name w:val="835FF0B0D5344FE4A8EE41F54AA7E17C16"/>
    <w:rsid w:val="007802C9"/>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BF59C1"/>
    <w:rPr>
      <w:color w:val="000000"/>
      <w:shd w:val="clear" w:color="auto" w:fill="E6E6E6"/>
    </w:rPr>
  </w:style>
  <w:style w:type="paragraph" w:customStyle="1" w:styleId="SectorSpecificNoteTitle">
    <w:name w:val="Sector Specific Note Title"/>
    <w:basedOn w:val="JurisdictionDraftingnoteTitle"/>
    <w:qFormat/>
    <w:rsid w:val="0072799E"/>
  </w:style>
  <w:style w:type="table" w:customStyle="1" w:styleId="ShadedTable1">
    <w:name w:val="Shaded Table1"/>
    <w:basedOn w:val="TableNormal"/>
    <w:uiPriority w:val="99"/>
    <w:rsid w:val="0072799E"/>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72799E"/>
    <w:rPr>
      <w:color w:val="000000"/>
    </w:rPr>
  </w:style>
  <w:style w:type="character" w:styleId="CommentReference">
    <w:name w:val="annotation reference"/>
    <w:basedOn w:val="DefaultParagraphFont"/>
    <w:uiPriority w:val="99"/>
    <w:semiHidden/>
    <w:unhideWhenUsed/>
    <w:rsid w:val="00EB5F9F"/>
    <w:rPr>
      <w:color w:val="000000"/>
      <w:sz w:val="16"/>
      <w:szCs w:val="16"/>
    </w:rPr>
  </w:style>
  <w:style w:type="paragraph" w:styleId="CommentText">
    <w:name w:val="annotation text"/>
    <w:basedOn w:val="Normal"/>
    <w:link w:val="CommentTextChar"/>
    <w:uiPriority w:val="99"/>
    <w:unhideWhenUsed/>
    <w:rsid w:val="00EB5F9F"/>
    <w:pPr>
      <w:spacing w:line="240" w:lineRule="auto"/>
    </w:pPr>
    <w:rPr>
      <w:color w:val="000000"/>
      <w:sz w:val="20"/>
      <w:szCs w:val="20"/>
    </w:rPr>
  </w:style>
  <w:style w:type="character" w:customStyle="1" w:styleId="CommentTextChar">
    <w:name w:val="Comment Text Char"/>
    <w:basedOn w:val="DefaultParagraphFont"/>
    <w:link w:val="CommentText"/>
    <w:uiPriority w:val="99"/>
    <w:rsid w:val="00EB5F9F"/>
    <w:rPr>
      <w:color w:val="000000"/>
      <w:sz w:val="20"/>
      <w:szCs w:val="20"/>
    </w:rPr>
  </w:style>
  <w:style w:type="paragraph" w:styleId="CommentSubject">
    <w:name w:val="annotation subject"/>
    <w:basedOn w:val="CommentText"/>
    <w:next w:val="CommentText"/>
    <w:link w:val="CommentSubjectChar"/>
    <w:uiPriority w:val="99"/>
    <w:semiHidden/>
    <w:unhideWhenUsed/>
    <w:rsid w:val="00EB5F9F"/>
    <w:rPr>
      <w:b/>
      <w:bCs/>
    </w:rPr>
  </w:style>
  <w:style w:type="character" w:customStyle="1" w:styleId="CommentSubjectChar">
    <w:name w:val="Comment Subject Char"/>
    <w:basedOn w:val="CommentTextChar"/>
    <w:link w:val="CommentSubject"/>
    <w:uiPriority w:val="99"/>
    <w:semiHidden/>
    <w:rsid w:val="00EB5F9F"/>
    <w:rPr>
      <w:b/>
      <w:bCs/>
      <w:color w:val="000000"/>
      <w:sz w:val="20"/>
      <w:szCs w:val="20"/>
    </w:rPr>
  </w:style>
  <w:style w:type="character" w:customStyle="1" w:styleId="IgnoredEmptysubclauseChar">
    <w:name w:val="Ignored Empty subclause Char"/>
    <w:basedOn w:val="DefaultParagraphFont"/>
    <w:link w:val="IgnoredEmptysubclause"/>
    <w:rsid w:val="0072799E"/>
    <w:rPr>
      <w:color w:val="000000"/>
    </w:rPr>
  </w:style>
  <w:style w:type="paragraph" w:customStyle="1" w:styleId="6B1115FCC3DC4C6AB2CF846F0C50B663">
    <w:name w:val="6B1115FCC3DC4C6AB2CF846F0C50B663"/>
    <w:rsid w:val="00E91699"/>
    <w:pPr>
      <w:spacing w:line="276" w:lineRule="auto"/>
    </w:pPr>
    <w:rPr>
      <w:color w:val="000000"/>
    </w:rPr>
  </w:style>
  <w:style w:type="paragraph" w:styleId="Revision">
    <w:name w:val="Revision"/>
    <w:hidden/>
    <w:uiPriority w:val="99"/>
    <w:semiHidden/>
    <w:rsid w:val="00FD63E3"/>
    <w:pPr>
      <w:spacing w:after="0" w:line="240" w:lineRule="auto"/>
    </w:pPr>
    <w:rPr>
      <w:color w:val="000000"/>
    </w:rPr>
  </w:style>
  <w:style w:type="paragraph" w:styleId="TOC1">
    <w:name w:val="toc 1"/>
    <w:basedOn w:val="Normal"/>
    <w:next w:val="Normal"/>
    <w:autoRedefine/>
    <w:rsid w:val="00805BCE"/>
    <w:pPr>
      <w:spacing w:after="100" w:line="240" w:lineRule="auto"/>
    </w:pPr>
  </w:style>
  <w:style w:type="numbering" w:customStyle="1" w:styleId="Style1">
    <w:name w:val="Style1"/>
    <w:uiPriority w:val="99"/>
    <w:rsid w:val="001069F1"/>
    <w:pPr>
      <w:numPr>
        <w:numId w:val="25"/>
      </w:numPr>
    </w:pPr>
  </w:style>
  <w:style w:type="character" w:styleId="UnresolvedMention">
    <w:name w:val="Unresolved Mention"/>
    <w:basedOn w:val="DefaultParagraphFont"/>
    <w:uiPriority w:val="99"/>
    <w:rsid w:val="00191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joytheview.co.uk/wp-admin/post.php?post=16&amp;action=elementor&amp;active-document=135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joytheview.co.uk/cookie-policy-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joytheview.co.uk/wp-admin/post.php?post=16&amp;action=elementor&amp;active-document=135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dm:cachedDataManifest xmlns:cdm="http://schemas.microsoft.com/2004/VisualStudio/Tools/Applications/CachedDataManifest.xsd" cdm:revision="1"/>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document xmlns:xsd="http://www.w3.org/2001/XMLSchema" xmlns:xsi="http://www.w3.org/2001/XMLSchema-instance" guid="0" synced="true" validated="true">
  <n-docbody>
    <standard.doc precedenttype="agreement">
      <prelim>
        <product.name>product.name0</product.name>
        <title>Website terms of service (UK)</title>
        <author>Practical Law Media &amp; Telecoms</author>
        <resource.type>Standard documents</resource.type>
        <juris>juris0</juris>
        <juris>juris1</juris>
      </prelim>
      <abstract>
        <para>
          <paratext>
            These standard terms of service are for the use of a website targeted at users in the UK. They are also sometimes known as online or website terms of use or website terms and conditions. These terms are drafted to be adaptable for various online services that are provided free of charge and cater to both business and consumer users. The resource provides guidance on complying with UK legislation, including the Consumer Rights Act 2015 (CRA) concerning unfair terms and transparency, the Unfair Contract Terms Act 1977, for business-to-business interactions, and the Online Safety Act 2023. If the service allows users to interact with one another (user-to-user (U2U)), the following additional clauses must be used in addition to these terms: 
            <link href="w-042-2581" style="ACTLinkPLCtoPLC">
              <ital>Standard clause, Website terms of service: user-to-user service (UK)</ital>
            </link>
            . If the website is likely to be accessed by children, it is likely that adaptations will need to be made to the way these terms are drafted (see 
            <link href="w-042-2620" style="ACTLinkPLCtoPLC">
              <ital>Practice note, Website terms of service: drafting for children (UK)</ital>
            </link>
            ). These terms are not suitable without adaptation for a search service allowing a person to search more than one website or database, or for a service "categorised" under the Online Safety Act 2023.
          </paratext>
        </para>
      </abstract>
      <toc.identifier hasToc="false"/>
      <body>
        <drafting.note id="a289207" jurisdiction="">
          <head align="left" preservecase="true">
            <headtext>About this document</headtext>
          </head>
          <division id="a307056" level="1">
            <head align="left" preservecase="true">
              <headtext>Assumptions</headtext>
            </head>
            <para>
              <paratext>This standard document is drafted on the following assumptions:</paratext>
            </para>
            <list type="bulleted">
              <list.item>
                <para>
                  <paratext>It covers the use of a website and will be published on that website.</paratext>
                </para>
              </list.item>
              <list.item>
                <para>
                  <paratext>The service offered by the website is targeted at users in the UK. If the service is also targeted at users in another country, local advice should be sought as to the terms of service required.</paratext>
                </para>
              </list.item>
              <list.item>
                <para>
                  <paratext>
                    The service does not include any user-to-user (U2U) service or any search engine that allows users to search across more than one website or database. If the service does include either of these features, it may be subject to the Online Safety Act 2023 (OSA) (see 
                    <link href="w-030-3139" style="ACTLinkPLCtoPLC">
                      <ital>Practice note, Online Safety Act 2023</ital>
                    </link>
                    ). A U2U service is one where users can interact with one another on the site. For more on the definition of a U2U service under the OSA, see 
                    <link anchor="a323187" href="w-030-3139" style="ACTLinkPLCtoPLC">
                      <ital>Practice note, Online Safety Act 2023: User-to-user services</ital>
                    </link>
                    . For a definition of a search service under the OSA, see 
                    <link anchor="a762363" href="w-030-3139" style="ACTLinkPLCtoPLC">
                      <ital>Practice note, Online Safety Act 2023: Search services</ital>
                    </link>
                    . If a U2U service is included on the website, the clauses in 
                    <link href="w-042-2581" style="ACTLinkPLCtoPLC">
                      <ital>Standard clause, Website terms of service: user-to-user service (UK)</ital>
                    </link>
                    , which have been drafted with the OSA in mind, should be used in addition to the terms in this standard document.
                  </paratext>
                </para>
              </list.item>
              <list.item>
                <para>
                  <paratext>The website may allow users to generate content on the service but only in a way that is limited to interacting with provider content and not other user-generated content (UGC).</paratext>
                </para>
              </list.item>
              <list.item>
                <para>
                  <paratext>
                    It could be used for an internal business service, services provided by public bodies and services provided by persons providing education or childcare (as defined in 
                    <link href="w-042-0070" style="ACTLinkPLCtoPLC">
                      <ital>Schedule 1</ital>
                    </link>
                     to the OSA). These are all exempt from the requirements of the OSA, so would not need to include the additional provisions required for U2U services under the OSA, even if they include a U2U service. For details of the exemptions, see 
                    <link anchor="a409805" href="w-030-3139" style="ACTLinkPLCtoPLC">
                      <ital>Practice note, Online Safety Act 2023: Exemptions</ital>
                    </link>
                    .
                  </paratext>
                </para>
              </list.item>
              <list.item>
                <para>
                  <paratext>
                    The website does not publish or display pornographic material. This would take it outside the exemptions in the OSA (see 
                    <ital>paragraph 6, Schedule 1, OSA</ital>
                    ).
                  </paratext>
                </para>
              </list.item>
              <list.item>
                <para>
                  <paratext>The online service is made available free of charge.</paratext>
                </para>
              </list.item>
              <list.item>
                <para>
                  <paratext>
                    The online service is not likely to be accessed by children. For information on drafting website terms of service for children, see 
                    <link href="w-042-2620" style="ACTLinkPLCtoPLC">
                      <ital>Practice note, Website terms of service: drafting for children (UK)</ital>
                    </link>
                    . For standard clauses to use in relation to a U2U service likely to be accessed by children, see 
                    <link href="w-042-3259" style="ACTLinkPLCtoPLC">
                      <ital>Standard clause, Website terms of service: user-to-user service likely to be accessed by children (UK)</ital>
                    </link>
                    .
                  </paratext>
                </para>
              </list.item>
              <list.item>
                <para>
                  <paratext>In addition, this standard document:</paratext>
                </para>
              </list.item>
              <list.item>
                <para>
                  <paratext>Is intended for use in conjunction with the following standard documents:</paratext>
                </para>
                <list type="bulleted">
                  <list.item>
                    <para>
                      <paratext>
                        <link href="w-013-3605" style="ACTLinkPLCtoPLC">
                          <ital>Website privacy policy (UK)</ital>
                        </link>
                        ;
                      </paratext>
                    </para>
                  </list.item>
                  <list.item>
                    <para>
                      <paratext>
                        <link href="w-019-8333" style="ACTLinkPLCtoPLC">
                          <ital>Standard document, Cookie policy (UK)</ital>
                        </link>
                        ;
                      </paratext>
                    </para>
                  </list.item>
                  <list.item>
                    <para>
                      <paratext>
                        <link href="9-201-6274" style="ACTLinkPLCtoPLC">
                          <ital>Standard clause, Website terms of service: acceptable use (UK)</ital>
                        </link>
                        ; and
                      </paratext>
                    </para>
                  </list.item>
                  <list.item>
                    <para>
                      <paratext>
                        <link href="1-629-8169" style="ACTLinkPLCtoPLC">
                          <ital>Standard document, Business and consumer goods, services and digital content terms and conditions (all channels)</ital>
                        </link>
                         (for example), if selling goods, services or digital content via the service. (If the service allows review of what is sold, it should also have a consumer reviews policy: see 
                        <link anchor="a205859" href="w-046-5309" style="ACTLinkPLCtoPLC">
                          <ital>Practice note, Consumer contracts: controls on fake and misleading consumer reviews: Have a consumer reviews policy</ital>
                        </link>
                        .)
                      </paratext>
                    </para>
                  </list.item>
                </list>
              </list.item>
            </list>
            <list type="bulleted">
              <list.item>
                <para>
                  <paratext>Is designed for business users as well as consumers.</paratext>
                </para>
              </list.item>
              <list.item>
                <para>
                  <paratext>Is drafted generically so that it can be adapted for use on different online services and different sectors. In its current form, however, it is not drafted for any specific sector or industry, in particular financial services or other regulated services, for which additional provisions might be needed.</paratext>
                </para>
              </list.item>
            </list>
          </division>
          <division id="a907798" level="1">
            <head align="left" preservecase="true">
              <headtext>Legal issues</headtext>
            </head>
            <division id="a190196" level="2">
              <head align="left" preservecase="true">
                <headtext>Contract or notice</headtext>
              </head>
              <para>
                <paratext>Ideally, the terms of service should be displayed, or be accessible to users by means of a prominent hyperlink, on all web pages forming the service, whether viewed on a computer or a mobile device. In particular, providers should consider having terms accessible on the home page via a link that is visible to the user without too much scrolling.</paratext>
              </para>
              <para>
                <paratext>The provider may choose to require users to click on an acceptance button before they are permitted to view or otherwise use the site (click-wrap) but is more likely to opt for the terms simply to be clearly available to read (browse-wrap).</paratext>
              </para>
              <para>
                <paratext>
                  If the terms are browse-wrap, it is not clear that a contract will be formed because of the absence of acceptance (see 
                  <link anchor="a710902" href="1-618-6384" style="ACTLinkPLCtoPLC">
                    <ital>Practice note, Consumer Rights Act 2015: click-wrap, browse-wrap and shrink-wrap agreements: general principles: Whether a EULA is a contract</ital>
                  </link>
                  ).
                </paratext>
              </para>
              <para>
                <paratext>
                  The previous Commission guidance on the 
                  <link href="3-517-8770" style="ACTLinkPLCtoPLC">
                    <ital>Consumer Rights Directive (2011/83/EU)</ital>
                  </link>
                   (CRD) states that:
                </paratext>
              </para>
              <display.quote>
                <para>
                  <paratext>
                    <lang val="en-US">"In itself [without the express conclusion of a contract], access to a website or a download from a website should not be considered a 'contract' for the purposes of the Directive."</lang>
                  </paratext>
                </para>
              </display.quote>
              <para>
                <paratext>
                  (See 
                  <link href="https://commission.europa.eu/document/download/f1f42e20-e4a1-4d8b-a1ef-d06acccba34e_en?filename=crd_guidance_en_0_updated.pdf" style="ACTLinkURL">
                    <ital>European Commission: DG Justice Guidance Document concerning the Consumer Rights Directive (June 2014)</ital>
                  </link>
                  .)
                </paratext>
              </para>
              <para>
                <paratext>
                  The new guidance is silent on the point (see 
                  <link href="https://eur-lex.europa.eu/legal-content/EN/TXT/?uri=CELEX%3A52021XC1229%2804%29&amp;amp;qid=1640961745514" style="ACTLinkURL">
                    <ital>Commission notice Guidance on the interpretation and application of Directive 2011/83/EU of the European Parliament and of the Council on consumer rights (2021)</ital>
                  </link>
                  ) but also is not of direct relevance to the operation of the CRD in the UK. The CRD was implemented in the UK. The implementing legislation is 
                  <link href="w-039-9417" style="ACTLinkPLCtoPLC">
                    <ital>assimilated law</ital>
                  </link>
                  . The Commission's updated guidance includes commentary on post-Brexit changes made to the CRD by the 
                  <link href="https://tmsnrt.rs/3x6AixW" style="ACTLinkURL">
                    <ital>Enforcement and Modernisation Directive ((EU) 2019/2161)</ital>
                  </link>
                   (see 
                  <link href="https://uk.practicallaw.thomsonreuters.com/w-030-6084?originationContext=document&amp;amp;transitionType=DocumentItem&amp;amp;contextData=(sc.Default)&amp;amp;ppcid=59d76b13e0f6443ea1e32e15790851d8" style="ACTLinkURL">
                    <ital>Practice note, EU Enforcement and Modernisation Directive: implications for EU consumer protection regime</ital>
                  </link>
                  ).
                </paratext>
              </para>
              <para>
                <paratext>Where no contract has been formed the terms will be treated as a notice to users.</paratext>
              </para>
              <division id="a864435" level="3">
                <head align="left" preservecase="true">
                  <headtext>Effectiveness of a notice</headtext>
                </head>
                <para>
                  <paratext>
                    From an intellectual property perspective, a non-contractual notice can grant the user rights to use content published on the service. However, for information on the limited effectiveness of restrictions on use, see 
                    <internal.reference refid="a486616">
                      <ital>Drafting note, How you may use material on our site</ital>
                    </internal.reference>
                    .
                  </paratext>
                </para>
                <para>
                  <paratext>A non-contractual notice can also affect a user's rights as a disclaimer. For example:</paratext>
                </para>
                <list type="bulleted">
                  <list.item>
                    <para>
                      <paratext>It might discharge a duty of care to the consumer, by giving the consumer enough warning of a danger. Terms that warn users that material may not be accurate or up to date take this route.</paratext>
                    </para>
                  </list.item>
                  <list.item>
                    <para>
                      <paratext>
                        It might negate a duty of care that could otherwise arise, by spelling out the limits of the responsibility or functions undertaken by the notice-giver. Terms that state that information should not be relied on and that professional advice should be taken follow this approach. For more information, see 
                        <link anchor="a488270" href="6-519-2010" style="ACTLinkPLCtoPLC">
                          <ital>Practice note, Excluding or limiting liability for negligence: Exclusion by disclaimer</ital>
                        </link>
                        .
                      </paratext>
                    </para>
                  </list.item>
                  <list.item>
                    <para>
                      <paratext>
                        It might negate an implied representation by the notice-giver, by spelling out the limited scope of a document or disclosure. Again, terms that provide that information and that it should not be relied on may operate in this way. For more information, see 
                        <link anchor="a54501" href="4-107-4724" style="ACTLinkPLCtoPLC">
                          <ital>Practice note, Misrepresentation: Non-reliance statements</ital>
                        </link>
                        .
                      </paratext>
                    </para>
                  </list.item>
                </list>
                <para>
                  <paratext>However, terms that do not form a contract cannot bind the user contractually. For example, a term excluding a user's rights to sue for negligence or defamation would be ineffective.</paratext>
                </para>
                <para>
                  <paratext>
                    Both disclaimers in terms that form a notice and limitations of liability in any terms that form a contract will be subject to controls, which limit a provider's ability to use them. For information on the effect of including unfair terms, see 
                    <internal.reference refid="a595770">
                      <ital>Drafting note, Consequences of non-compliance with consumer and business legislation</ital>
                    </internal.reference>
                    .
                  </paratext>
                </para>
              </division>
            </division>
            <division id="a541576" level="2">
              <head align="left" preservecase="true">
                <headtext>Business or consumer user</headtext>
              </head>
              <para>
                <paratext>A trader's dealings with consumers are more strictly controlled than their dealings with business customers. In particular, a far wider range of terms are potentially unfair in consumer contracts and notices than is the case for business-to-business contracts and notices. Traders whose customers include businesses and consumers have a choice. They can either:</paratext>
              </para>
              <list type="bulleted">
                <list.item>
                  <para>
                    <paratext>Apply different terms of service to consumers and to business customers (either combined in the same document or in two separate documents).</paratext>
                  </para>
                </list.item>
                <list.item>
                  <para>
                    <paratext>Give the more generous consumer protection to all customers.</paratext>
                  </para>
                </list.item>
              </list>
              <para>
                <paratext>
                  In these terms, consumer and business users are only treated differently in the clause seeking to limit liability (see 
                  <internal.reference refid="a904854">
                    <ital>Drafting note, Our responsibility for loss or damage suffered by you</ital>
                  </internal.reference>
                  ) and in the clause specifying law and jurisdiction (see 
                  <internal.reference refid="a153207">
                    <ital>Drafting note, Which country's laws apply to a dispute</ital>
                  </internal.reference>
                  ).
                </paratext>
              </para>
            </division>
            <division id="a493546" level="2">
              <head align="left" preservecase="true">
                <headtext>Consumer controls applicable to all terms: whether or not they are contracts</headtext>
              </head>
              <division id="a432111" level="3">
                <head align="left" preservecase="true">
                  <headtext>Unfair terms</headtext>
                </head>
                <para>
                  <paratext>
                    If these terms are used in a business to consumer context, their provisions will be subject to the general fairness test for all contract terms with consumers set out in 
                    <link href="0-606-7485" style="ACTLinkPLCtoPLC">
                      <ital>section 62</ital>
                    </link>
                     of the Consumer Rights Act 2015 (CRA). These controls apply equally to non-contractual terms (that is, notices). For more information, see 
                    <link href="w-022-6157" style="ACTLinkPLCtoPLC">
                      <ital>Practice notes, Consumer contracts: unfair terms and transparency</ital>
                    </link>
                     and 
                    <link anchor="a919385" href="4-543-6245" style="ACTLinkPLCtoPLC">
                      <ital>Unfair notices to consumers: Fairness test</ital>
                    </link>
                    .
                  </paratext>
                </para>
                <para>
                  <paratext>The CRA "grey-lists" a number of provisions as potentially unfair. Some of the terms in this document are arguably grey-listed, including:</paratext>
                </para>
                <list type="bulleted">
                  <list.item>
                    <para>
                      <paratext>The right to unilaterally change the terms and the content at any time without notice.</paratext>
                    </para>
                  </list.item>
                  <list.item>
                    <para>
                      <paratext>The disclaimers for information published on the site.</paratext>
                    </para>
                  </list.item>
                  <list.item>
                    <para>
                      <paratext>The wide licence granted to the service provider for content uploaded or posted to the site.</paratext>
                    </para>
                  </list.item>
                </list>
                <para>
                  <paratext>
                    However, grey-listed terms are only potentially unfair. A term is actually unfair if "contrary to the requirement of good faith, it causes a significant imbalance in the parties' rights and obligations under the contract to the detriment of the consumer" (
                    <link href="0-606-7485" style="ACTLinkPLCtoPLC">
                      <ital>section 62(4)</ital>
                    </link>
                    , CRA). Guidance from the Competition and Markets Authority (CMA) on unfair contract terms comments that:
                  </paratext>
                </para>
                <display.quote>
                  <para>
                    <paratext>"A term is considered most likely to cause an unfair imbalance if it alters the balance in rights and obligations that the law would have struck if left to itself".</paratext>
                  </para>
                </display.quote>
                <para>
                  <paratext>
                    (
                    <link href="6-618-2345" style="ACTLinkPLCtoPLC">
                      <ital>CMA: Unfair contract terms: CMA37</ital>
                    </link>
                     (CMA guidance).)
                  </paratext>
                </para>
                <para>
                  <paratext>Whether a term is fair is to be determined both by:</paratext>
                </para>
                <list type="bulleted">
                  <list.item>
                    <para>
                      <paratext>Taking into account the nature of the subject matter of the contract.</paratext>
                    </para>
                  </list.item>
                  <list.item>
                    <para>
                      <paratext>Reference to all the circumstances existing when the term was agreed and to all of the other terms of the contract or of any other contract on which it depends.</paratext>
                    </para>
                  </list.item>
                </list>
                <para>
                  <paratext>
                    (
                    <ital>Section 62(5), CRA</ital>
                    .)
                  </paratext>
                </para>
                <para>
                  <paratext>In an online service context, the following issues may be relevant:</paratext>
                </para>
                <list type="bulleted">
                  <list.item>
                    <para>
                      <paratext>The status of the provider. Consider whether consumers are likely to treat the information provided as authoritative.</paratext>
                    </para>
                  </list.item>
                  <list.item>
                    <para>
                      <paratext>The importance of the information contained on the service. Consider whether consumers are likely to make significant decisions based on the information the service provides.</paratext>
                    </para>
                  </list.item>
                  <list.item>
                    <para>
                      <paratext>Consider whether the online service provides a service or information that consumers will use regularly and rely on. It is likely to be an issue if it is difficult for users to switch to another service provider if the service is changed or suspended.</paratext>
                    </para>
                  </list.item>
                </list>
                <para>
                  <paratext>The CMA guidance states that a reduction in the price for a service will not necessarily remove or reduce the effect of a detrimental imbalance in the contract. Presumably, offering a service free of charge will similarly not ensure that terms are fair. One rationale for this approach may be that the trader will generally obtain a commercial benefit from providing the online service (for example, promotion of its products or advertising revenue).</paratext>
                </para>
                <para>
                  <paratext>
                    As yet, there is little judicial guidance on whether terms seeking to disclaim or limit liability for damage resulting from use of a free online service are "fair" and the use of such terms remains widespread. However, the use of exclusion and limitation clauses that mislead consumers about their rights (and so discourage them from enforcing such rights) can be a breach of the 
                    <link href="7-508-2539" style="ACTLinkPLCtoPLC">
                      <ital>Consumer Protection from Unfair Trading Regulations 2008 (SI 2008/1277)</ital>
                    </link>
                     (
                    <ital>regulation 5</ital>
                    ), for which the CMA and other bodies can take enforcement action, including criminal proceedings.
                  </paratext>
                </para>
                <para>
                  <paratext>The approach taken in these terms is as follows:</paratext>
                </para>
                <list type="bulleted">
                  <list.item>
                    <para>
                      <paratext>
                        Disclaimers are used to try to prevent liability arising (see for example, 
                        <internal.reference refid="a181412">
                          <ital>Drafting note, Do not rely on information on this site</ital>
                        </internal.reference>
                        ). Where appropriate, attempts have been made to make these disclaimers reasonable, as explained in the associated drafting notes.
                      </paratext>
                    </para>
                  </list.item>
                  <list.item>
                    <para>
                      <paratext>
                        As against consumers, there is no express attempt to exclude or limit any liability that might arise, despite the use of the disclaimers. The same approach is taken in 
                        <link href="9-617-4909" style="ACTLinkPLCtoPLC">
                          <ital>Standard document, Online consumer goods, services and digital content terms and conditions</ital>
                        </link>
                        . For more information, see 
                        <internal.reference refid="a904854">
                          <ital>Drafting note, Our responsibility for loss or damage suffered by you</ital>
                        </internal.reference>
                        .
                      </paratext>
                    </para>
                  </list.item>
                </list>
                <para>
                  <paratext>
                    For more information, see 
                    <link href="w-022-6157" style="ACTLinkPLCtoPLC">
                      <ital>Practice note, Consumer contracts: unfair terms and transparency</ital>
                    </link>
                    .
                  </paratext>
                </para>
              </division>
              <division id="a185870" level="3">
                <head align="left" preservecase="true">
                  <headtext>Transparency</headtext>
                </head>
                <para>
                  <paratext>
                    The transparency requirement under the CRA applies whether the rules are a contract or simply a notice. Broadly speaking, this means that terms in consumer contracts, such as these terms of service, must be expressed in plain and intelligible language. Making terms transparent and easy to understand also increases the chances of their being found to be fair. For more information, see 
                    <link href="w-022-6157" style="ACTLinkPLCtoPLC">
                      <ital>Practice note, Consumer contracts: unfair terms and transparency</ital>
                    </link>
                    .
                  </paratext>
                </para>
              </division>
            </division>
            <division id="a601480" level="2">
              <head align="left" preservecase="true">
                <headtext>Consumer controls only applicable to terms that are contracts</headtext>
              </head>
              <para>
                <paratext>
                  If these terms form a contract with a consumer (see 
                  <internal.reference refid="a190196">
                    <ital>Drafting note, Contract or notice</ital>
                  </internal.reference>
                  ), certain terms as to the quality of the online service may be implied by the CRA and certain other rules about pre-contract information and helplines may apply under the 
                  <link href="9-553-8326" style="ACTLinkPLCtoPLC">
                    <ital>Consumer Contracts (Information, Cancellation and Additional Charges) Regulations 2013 (SI 2013/3134)</ital>
                  </link>
                   (Consumer Contracts Regulations 2013), which implemented the 
                  <link href="3-517-8770" style="ACTLinkPLCtoPLC">
                    <ital>CRD</ital>
                  </link>
                  . The Consumer Contracts Regulations 2013 continue in force in the UK as assimilated law.
                </paratext>
              </para>
              <division id="a306722" level="3">
                <head align="left" preservecase="true">
                  <headtext>Services or digital content</headtext>
                </head>
                <para>
                  <paratext>
                    Whether terms are implied into consumer contracts and what those terms are depends on whether the online service is treated as a supply of digital content or of services. Insofar as a contract simply governs a user's browsing of an online service, it is likely that it is a contract for services (see 
                    <link href="w-022-3748" style="ACTLinkPLCtoPLC">
                      <ital>Practice note, Consumer contracts: which rules apply?</ital>
                    </link>
                    ).
                  </paratext>
                </para>
                <para>
                  <paratext>However, insofar as the terms permit the user to download digital content, the contract will be for the supply of that digital content.</paratext>
                </para>
              </division>
              <division id="a758696" level="3">
                <head align="left" preservecase="true">
                  <headtext>Implied terms under the CRA</headtext>
                </head>
                <para>
                  <paratext>
                    In relation to services, the key terms implied by the CRA are that the service must be provided with reasonable skill and care and be in accordance with any information provided pre-contract that the consumer relied on (see 
                    <link anchor="a1050946" href="w-023-1479" style="ACTLinkPLCtoPLC">
                      <ital>Practice note, Consumer contracts: supplying services: Consumer's rights in respect of services</ital>
                    </link>
                    ). There are statutory remedies that will apply in the event of any breach of the implied terms (see 
                    <link anchor="a189228" href="w-023-1479" style="ACTLinkPLCtoPLC">
                      <ital>Practice note, Consumer contracts: supplying services: Consumer remedies: overview</ital>
                    </link>
                    ).
                  </paratext>
                </para>
                <para>
                  <paratext>
                    Insofar as these terms are for the supply of digital content, implied terms are not relevant because no price is being paid. However, the CRA does provide a remedy where damage is caused by digital content, even where no price is paid (see 
                    <link href="w-023-1455" style="ACTLinkPLCtoPLC">
                      <ital>Practice note, Consumer contracts: supplying digital content</ital>
                    </link>
                    ).
                  </paratext>
                </para>
              </division>
              <division id="a154306" level="3">
                <head align="left" preservecase="true">
                  <headtext>Consumer Contracts Regulations 2013</headtext>
                </head>
                <para>
                  <paratext>
                    As already mentioned, the Consumer Contracts Regulations 2013 implemented the 
                    <link href="3-517-8770" style="ACTLinkPLCtoPLC">
                      <ital>CRD</ital>
                    </link>
                    . They:
                  </paratext>
                </para>
                <list type="bulleted">
                  <list.item>
                    <para>
                      <paratext>
                        Require traders to give consumers pre-contract information, obtain the consumer's express consent to additional payments, and not use premium rate helplines. Arguably, these rules apply to all consumer contracts (see 
                        <link href="w-022-5839" style="ACTLinkPLCtoPLC">
                          <ital>Practice note, Consumer contracts: common terms and conditions</ital>
                        </link>
                        ).
                      </paratext>
                    </para>
                  </list.item>
                  <list.item>
                    <para>
                      <paratext>Give a cooling-off period to consumers who are purchasing at a distance or off-premises. If the online service is just treated as the provision of services, these rules do not apply because the cooling-off period only applies to services provided for a monetary price. However, there is a cooling-off period for digital content (for example, downloads) provided for non-monetary consideration (for example, an agreement to be bound by restrictions on use or the provision of personal data). In practice, this cooling-off period would seem to have limited scope in relation to a free download because on cancellation the trader's main obligation is to refund money paid (there is no obligation to return non-monetary consideration).</paratext>
                    </para>
                  </list.item>
                </list>
                <para>
                  <paratext>
                    For an overview of all of the rules applicable to online contracts under the Consumer Contracts Regulations 2013, see 
                    <link href="w-021-9711" style="ACTLinkPLCtoPLC">
                      <ital>Practice note, Consumer contracts: online selling</ital>
                    </link>
                    .
                  </paratext>
                </para>
              </division>
            </division>
            <division id="a487904" level="2">
              <head align="left" preservecase="true">
                <headtext>Business controls applicable to all terms: whether or not they are contracts</headtext>
              </head>
              <para>
                <paratext>
                  A business cannot limit or exclude its liability for death or personal injury and can only restrict its liability for other loss or damage caused by negligence insofar as is reasonable (
                  <link href="5-384-3458" style="ACTLinkPLCtoPLC">
                    <ital>Unfair Contract Terms Act 1977</ital>
                  </link>
                  ). These controls apply whether the terms are contained in a contract or a notice (see 
                  <internal.reference refid="a190196">
                    <ital>Drafting note, Contract or notice</ital>
                  </internal.reference>
                   above).
                </paratext>
              </para>
            </division>
            <division id="a825825" level="2">
              <head align="left" preservecase="true">
                <headtext>Business controls only applicable to terms that are contracts</headtext>
              </head>
              <para>
                <paratext>In a business-to-business scenario, the provision of access to an online service would be a supply of services, and it is likely that supplying a download would also be a supply of services. English law only recognises "digital content" as a category distinct from goods and services in a consumer context.</paratext>
              </para>
              <para>
                <paratext>
                  If the terms do form a contract (see 
                  <internal.reference refid="a190196">
                    <ital>Drafting note, Contract or notice</ital>
                  </internal.reference>
                   above), legislation will imply terms that those services will be provided with reasonable skill and care and, if the contract is silent, within a reasonable time. The service provider may only limit its liability for breach of these implied terms to the extent that it is reasonable to do so (see 
                  <link anchor="a614417" href="9-617-5230" style="ACTLinkPLCtoPLC">
                    <ital>Practice note, Statutory and common law controls on limitation clauses in B2B contracts: Statutory controls on limitation clauses</ital>
                  </link>
                  ). In addition, there is a large body of common law relevant to the formation and performance of such contracts. For more information, see Practice notes:
                </paratext>
              </para>
              <list type="bulleted">
                <list.item>
                  <para>
                    <paratext>
                      <link href="2-501-7221" style="ACTLinkPLCtoPLC">
                        <ital>Drafting standard terms and conditions for the supply of services</ital>
                      </link>
                      .
                    </paratext>
                  </para>
                </list.item>
                <list.item>
                  <para>
                    <paratext>
                      <link anchor="a402715" href="6-370-6007" style="ACTLinkPLCtoPLC">
                        <ital>Issues in IT contracts litigation: Are these contractual restrictions enforceable?</ital>
                      </link>
                    </paratext>
                  </para>
                </list.item>
                <list.item>
                  <para>
                    <paratext>
                      <link href="6-519-2010" style="ACTLinkPLCtoPLC">
                        <ital>Excluding or limiting liability for negligence</ital>
                      </link>
                      .
                    </paratext>
                  </para>
                </list.item>
              </list>
            </division>
            <division id="a105988" level="2">
              <head align="left" preservecase="true">
                <headtext>Information requirements</headtext>
              </head>
              <para>
                <paratext>Legislation imposes information requirements on online service providers, whether they are dealing with consumers or businesses. The legislation includes:</paratext>
              </para>
              <list type="bulleted">
                <list.item>
                  <para>
                    <paratext>
                      <link href="5-508-3672" style="ACTLinkPLCtoPLC">
                        <ital>Regulation 6(1)</ital>
                      </link>
                       of the Electronic Commerce (EC Directive) Regulations 2002 (
                      <ital>SI 2002/2013</ital>
                      ) (E-Commerce Regulations).
                    </paratext>
                  </para>
                </list.item>
                <list.item>
                  <para>
                    <paratext>
                      <link href="6-508-2554" style="ACTLinkPLCtoPLC">
                        <ital>Provision of Services Regulations 2009 (SI 2009/2999)</ital>
                      </link>
                      .
                    </paratext>
                  </para>
                </list.item>
                <list.item>
                  <para>
                    <paratext>
                      <link href="1-595-9486" style="ACTLinkPLCtoPLC">
                        <ital>Company, Limited Liability Partnership and Business (Names and Trading Disclosures) Regulations 2015 (SI 2015/17)</ital>
                      </link>
                      .
                    </paratext>
                  </para>
                </list.item>
                <list.item>
                  <para>
                    <paratext>
                      The 
                      <link href="7-507-0249" style="ACTLinkPLCtoPLC">
                        <ital>Companies (Registrar, Languages and Trading Disclosures) Regulations 2006</ital>
                      </link>
                      , which amend 
                      <link href="1-505-8641" style="ACTLinkPLCtoPLC">
                        <ital>section 188</ital>
                      </link>
                       of the Insolvency Act 1986.
                    </paratext>
                  </para>
                </list.item>
              </list>
              <para>
                <paratext>
                  For more information, see 
                  <link href="7-201-5591" style="ACTLinkPLCtoPLC">
                    <ital>Practice note, Information provision obligations on UK website operators</ital>
                  </link>
                  .
                </paratext>
              </para>
              <para>
                <paratext>The information does not have to be included in the terms of service. It could be included elsewhere on the service's website (for example, in a header or footer or under an "About us" tab). What is appropriate will depend on the service and the information being provided.</paratext>
              </para>
            </division>
            <division id="a595770" level="2">
              <head align="left" preservecase="true">
                <headtext>Consequences of non-compliance with consumer and business legislation</headtext>
              </head>
              <division id="a433558" level="3">
                <head align="left" preservecase="true">
                  <headtext>Breach of laws protecting consumers</headtext>
                </head>
                <para>
                  <paratext>Attempts by the service provider to enforce non-compliant provisions will be ineffective.</paratext>
                </para>
                <para>
                  <paratext>Attempts by the service provider to exclude remedies provided for by law will not succeed.</paratext>
                </para>
                <para>
                  <paratext>The inclusion of provisions that mislead consumers about their rights may attract enforcement action (by the CMA or other consumer protection bodies, such as Trading Standards).</paratext>
                </para>
                <para>
                  <paratext>Similarly, enforcement bodies can take action for breach of the information provision requirements under the Consumer Contracts Regulations 2013, the E-Commerce Regulations and the Provision of Services Regulations.</paratext>
                </para>
                <para>
                  <paratext>Any public enforcement action is likely to attract bad publicity for traders.</paratext>
                </para>
              </division>
              <division id="a642657" level="3">
                <head align="left" preservecase="true">
                  <headtext>Breach of laws protecting business customers</headtext>
                </head>
                <para>
                  <paratext>Insofar as a contract unreasonably seeks to exclude a service provider's liability to a business customer, it will be ineffective.</paratext>
                </para>
                <para>
                  <paratext>It is up to businesses to take action directly against an online service provider for damage caused by failure to provide information required under the E-Commerce Regulations and the Provision of Services Regulations.</paratext>
                </para>
                <para>
                  <paratext>Failure to comply with the Company, Limited Liability Partnership and Business (Names and Trading Disclosures) Regulations 2015 is an offence punishable by a fine.</paratext>
                </para>
              </division>
            </division>
            <division id="a155511" level="2">
              <head align="left" preservecase="true">
                <headtext>Including details of ADR provider</headtext>
              </head>
              <para>
                <paratext>
                  In some circumstances, a trader will be required to include information about its ADR entity in its general terms and conditions of sales contracts or service contracts. In our view, there is no requirement to provide this information in terms of service for website use, as these are normally distinct from a trader's terms and conditions of sale or supply. For more information on this issue, see 
                  <link href="a-038-7256" style="ACTLinkPLCtoPLC">
                    <ital>Ask, Do the Consumer ADR Regulations require traders to mention ADR options in website terms of use?</ital>
                  </link>
                  .
                </paratext>
              </para>
            </division>
          </division>
        </drafting.note>
        <operative xrefname="clause">
          <clause id="a412022" numbering="none">
            <head align="left" preservecase="true">
              <headtext>PLEASE READ THESE TERMS OF SERVICE CAREFULLY BEFORE USING THIS SITE</headtext>
            </head>
          </clause>
          <clause id="a615625" numbering="none">
            <head align="left" preservecase="true">
              <headtext>What's in these terms</headtext>
            </head>
            <drafting.note id="a702415" jurisdiction="">
              <head align="left" preservecase="true">
                <headtext>What's in these terms</headtext>
              </head>
              <division id="a000014" level="1">
                <para>
                  <paratext>
                    It is standard practice to use an index to make terms more easily navigable and so more transparent for users. For more drafting tips, see 
                    <link anchor="a869369" href="w-022-5839" style="ACTLinkPLCtoPLC">
                      <ital>Practice note, Consumer contracts: common terms and conditions: Drafting tips</ital>
                    </link>
                    .
                  </paratext>
                </para>
              </division>
            </drafting.note>
            <para>
              <paratext>These terms tell you the rules for using our website [DOMAIN ADDRESS] (our site).</paratext>
            </para>
            <para>
              <paratext>Click on the links below to go straight to more information on each area:</paratext>
            </para>
            <list type="bulleted">
              <list.item>
                <para>
                  <paratext>Who we are and how to contact us [INSERT AS LINK].</paratext>
                </para>
              </list.item>
              <list.item>
                <para>
                  <paratext>By using our site you accept these terms [INSERT AS LINK].</paratext>
                </para>
              </list.item>
              <list.item>
                <para>
                  <paratext>There are other terms that may apply to you [INSERT AS LINK].</paratext>
                </para>
              </list.item>
              <list.item>
                <para>
                  <paratext>We may make changes to these terms [INSERT AS LINK].</paratext>
                </para>
              </list.item>
              <list.item>
                <para>
                  <paratext>We may make changes to our site [INSERT AS LINK].</paratext>
                </para>
              </list.item>
              <list.item>
                <para>
                  <paratext>We may suspend or withdraw our site [INSERT AS LINK].</paratext>
                </para>
              </list.item>
              <list.item>
                <para>
                  <paratext>We may transfer this agreement to someone else [INSERT AS LINK].</paratext>
                </para>
              </list.item>
              <list.item>
                <para>
                  <paratext>
                    Our site is only for users in [England 
                    <bold>OR</bold>
                     the UK] [INSERT AS LINK].
                  </paratext>
                </para>
              </list.item>
              <list.item>
                <para>
                  <paratext>You must keep your account details safe [INSERT AS LINK].</paratext>
                </para>
              </list.item>
              <list.item>
                <para>
                  <paratext>How you may use material on our site [INSERT AS LINK].</paratext>
                </para>
              </list.item>
              <list.item>
                <para>
                  <paratext>No text or data mining, or web scraping [INSERT AS LINK].</paratext>
                </para>
              </list.item>
              <list.item>
                <para>
                  <paratext>Rules about linking to our site [INSERT AS LINK].</paratext>
                </para>
              </list.item>
              <list.item>
                <para>
                  <paratext>Our trade marks are registered [INSERT AS LINK].</paratext>
                </para>
              </list.item>
              <list.item>
                <para>
                  <paratext>Uploading content to our site [INSERT AS LINK].</paratext>
                </para>
              </list.item>
              <list.item>
                <para>
                  <paratext>Rights you are giving us to use material you upload [INSERT AS LINK].</paratext>
                </para>
              </list.item>
              <list.item>
                <para>
                  <paratext>Do not rely on information on this site [INSERT AS LINK].</paratext>
                </para>
              </list.item>
              <list.item>
                <para>
                  <paratext>We are not responsible for websites we link to [INSERT AS LINK].</paratext>
                </para>
              </list.item>
              <list.item>
                <para>
                  <paratext>We are not responsible for viruses [INSERT AS LINK].</paratext>
                </para>
              </list.item>
              <list.item>
                <para>
                  <paratext>You must not introduce viruses [INSERT AS LINK].</paratext>
                </para>
              </list.item>
              <list.item>
                <para>
                  <paratext>Our responsibility for loss or damage suffered by you [INSERT AS LINK].</paratext>
                </para>
              </list.item>
              <list.item>
                <para>
                  <paratext>How we may use your personal information [INSERT AS LINK].</paratext>
                </para>
              </list.item>
              <list.item>
                <para>
                  <paratext>Which country's laws apply to any disputes [INSERT AS LINK].</paratext>
                </para>
              </list.item>
            </list>
          </clause>
          <clause id="a707346" numbering="none">
            <head align="left" preservecase="true">
              <headtext>Who we are and how to contact us</headtext>
            </head>
            <drafting.note id="a818962" jurisdiction="">
              <head align="left" preservecase="true">
                <headtext>Who we are and how to contact us</headtext>
              </head>
              <division id="a000015" level="1">
                <para>
                  <paratext>
                    This term contains part of the information about the online service provider required under the legislation above (see 
                    <internal.reference refid="a105988">
                      <ital>Drafting note, Information requirements</ital>
                    </internal.reference>
                    ). It may also be appropriate to display some or all of this information more prominently on the website than within these terms of service.
                  </paratext>
                </para>
              </division>
            </drafting.note>
            <para>
              <paratext>
                [DOMAIN ADDRESS] is a site operated by [NAME OF COMPANY] (
                <defn.term>We</defn.term>
                ). We are registered in England and Wales under company number [COMPANY NUMBER] and have our registered office at [COMPANY ADDRESS]. Our main trading address is [TRADING ADDRESS]. Our VAT number is [VAT NUMBER].
              </paratext>
            </para>
            <para>
              <paratext>[We are regulated by [NAME OF RELEVANT REGULATOR].]</paratext>
            </para>
            <para>
              <paratext>[We are an investment company.]</paratext>
            </para>
            <para>
              <paratext>[We are a limited company.]</paratext>
            </para>
            <para>
              <paratext>[Please note that our company is currently being wound up.]</paratext>
            </para>
            <para>
              <paratext>[OTHER REQUIREMENTS APPLYING TO PARTICULAR PROFESSIONS.]</paratext>
            </para>
            <para>
              <paratext>To contact us, please email [EMAIL ADDRESS] [or telephone our customer service line on [NUMBER]].</paratext>
            </para>
          </clause>
          <clause id="a942022" numbering="none">
            <head align="left" preservecase="true">
              <headtext>By using our site you accept these terms</headtext>
            </head>
            <drafting.note id="a872924" jurisdiction="">
              <head align="left" preservecase="true">
                <headtext>By using our site you accept these terms</headtext>
              </head>
              <division id="a000016" level="1">
                <division id="a854591" level="2">
                  <head align="left" preservecase="true">
                    <headtext>Acceptance language</headtext>
                  </head>
                  <para>
                    <paratext>
                      Despite the uncertainty around whether browse-wrap terms of service are effective to form a contract between the website provider and the user (see 
                      <internal.reference refid="a190196">
                        <ital>Drafting note, Contract or notice</ital>
                      </internal.reference>
                      ), the prudent approach is to ensure that the language of acceptance is used in the introduction to the terms of service. Even if it is not effective to create a contract, it may encourage users to comply with the terms.
                    </paratext>
                  </para>
                </division>
                <division id="a487780" level="2">
                  <head align="left" preservecase="true">
                    <headtext>Recommendation that users print a copy of the terms</headtext>
                  </head>
                  <para>
                    <paratext>
                      A service provider contracting with a consumer or business must make the terms of service of that contract available in a way that allows the recipient to store and reproduce them (
                      <link href="1-508-2467" style="ACTLinkPLCtoPLC">
                        <ital>E-Commerce Regulations</ital>
                      </link>
                      ). Encouraging users to print terms of service is a common way of doing this.
                    </paratext>
                  </para>
                </division>
              </division>
            </drafting.note>
            <para>
              <paratext>By using our site, you confirm that you accept these terms of service and that you agree to comply with them.</paratext>
            </para>
            <para>
              <paratext>If you do not agree to these terms, you must not use our site.</paratext>
            </para>
            <para>
              <paratext>We recommend that you print a copy of these terms for future reference.</paratext>
            </para>
          </clause>
          <clause id="a208383" numbering="none">
            <head align="left" preservecase="true">
              <headtext>There are other terms that may apply to you</headtext>
            </head>
            <drafting.note id="a192134" jurisdiction="">
              <head align="left" preservecase="true">
                <headtext>There are other terms that may apply to you</headtext>
              </head>
              <division id="a000017" level="1">
                <para>
                  <paratext>This term cross refers to the other documents that will apply to the user. You must include links where indicated.</paratext>
                </para>
                <para>
                  <paratext>Under this term, the following terms will apply:</paratext>
                </para>
                <list type="bulleted">
                  <list.item>
                    <para>
                      <paratext>
                        The website provider's privacy policy. For more information on this, see 
                        <internal.reference refid="a964598">
                          <ital>Drafting note, How we may use your personal information</ital>
                        </internal.reference>
                        . For a template privacy policy, see 
                        <link href="w-013-3605" style="ACTLinkPLCtoPLC">
                          <ital>Standard document, Website privacy policy (UK)</ital>
                        </link>
                        .
                      </paratext>
                    </para>
                  </list.item>
                  <list.item>
                    <para>
                      <paratext>
                        The website provider's cookie policy, which gives users the necessary information about the website provider's use of cookies, as required by the 
                        <link href="7-508-3063" style="ACTLinkPLCtoPLC">
                          <ital>Privacy and Electronic Communications (EC Directive) (Amendment) Regulations 2011 (SI 2011/1208)</ital>
                        </link>
                        . For a template cookie policy, see 
                        <link href="w-019-8333" style="ACTLinkPLCtoPLC">
                          <ital>Standard document, Cookie policy (UK)</ital>
                        </link>
                        .
                      </paratext>
                    </para>
                  </list.item>
                  <list.item>
                    <para>
                      <paratext>
                        The service provider's terms applying to the sale of goods, services or digital content. Any sale of goods, services or digital content via a website will be governed by a contract between the website provider and the customer. As in an offline context, the website provider will want to incorporate their standard terms of supply into any such contract with a user. For a template, see 
                        <link href="1-629-8169" style="ACTLinkPLCtoPLC">
                          <ital>Standard document, Business and consumer goods, services and digital content terms and conditions (all channels)</ital>
                        </link>
                        .
                      </paratext>
                    </para>
                  </list.item>
                  <list.item>
                    <para>
                      <paratext>
                        Any provisions that are really part of the website terms of service but that might be published as separate documents, such as an acceptable use policy (such as 
                        <link href="9-201-6274" style="ACTLinkPLCtoPLC">
                          <ital>Standard clause, Website terms of service: acceptable use (UK)</ital>
                        </link>
                        ).
                      </paratext>
                    </para>
                  </list.item>
                </list>
              </division>
            </drafting.note>
            <para>
              <paratext>These terms of service refer to the following additional terms, which also apply to your use of our site:</paratext>
            </para>
            <list type="bulleted">
              <list.item>
                <para>
                  <paratext>Our Privacy Policy [INSERT AS LINK TO SITE'S PRIVACY POLICY], which explains how we collect, use and store your personal data.</paratext>
                </para>
              </list.item>
              <list.item>
                <para>
                  <paratext>Our Cookie Policy [INSERT AS LINK TO COOKIE POLICY], which sets out information about the cookies on our site.</paratext>
                </para>
              </list.item>
            </list>
            <para>
              <paratext>If you purchase goods or services from our site, our Terms and Conditions of Supply [INSERT AS LINK TO WEBSITE TERMS AND CONDITIONS OF SUPPLY] will apply to the sales.</paratext>
            </para>
            <para>
              <paratext>[The following documents also form part of these terms of service: [LINK TO ANY OTHER TERMS OR POLICIES THAT FORM PART OF OR ARE CONNECTED TO THESE TERMS OF SERVICE, SUCH AS AN ACCEPTABLE USE POLICY.]]</paratext>
            </para>
          </clause>
          <clause id="a107821" numbering="none">
            <head align="left" preservecase="true">
              <headtext>We may make changes to these terms</headtext>
            </head>
            <drafting.note id="a284721" jurisdiction="">
              <head align="left" preservecase="true">
                <headtext>We may make changes to these terms</headtext>
              </head>
              <division id="a000018" level="1">
                <para>
                  <paratext>
                    In a consumer context, terms that permit the trader to unilaterally vary a contract or notice without good reason are grey-listed as potentially unfair in the 
                    <link href="0-606-7466" style="ACTLinkPLCtoPLC">
                      <ital>CRA</ital>
                    </link>
                     (see 
                    <link anchor="a470378" href="w-022-6157" style="ACTLinkPLCtoPLC">
                      <ital>Practice note, Consumer contracts: unfair terms and transparency: Grey-listed terms under the CRA</ital>
                    </link>
                    ).
                  </paratext>
                </para>
                <para>
                  <paratext>To increase the chances of this provision being found fair, the term provides that any changes only apply to future use (and not to information already downloaded). The best practice would be to include a statement in the introductory paragraph indicating when the terms were last amended and (ideally) what changes were made. Optional wording for this is included in this clause.</paratext>
                </para>
                <para>
                  <paratext>Where users are registered and have click-accepted terms, some mechanism for notifying them of changes should be used (for example a pop-up notification when they first log on again after the changes have been made).</paratext>
                </para>
              </division>
            </drafting.note>
            <para>
              <paratext>We amend these terms from time to time. Every time you wish to use our site, please check these terms to ensure you understand the terms that apply at that time. [These terms were most recently updated on [DATE] [when we changed clauses [DETAILS OF CLAUSES] and [DETAILS OF CLAUSES]].]</paratext>
            </para>
          </clause>
          <clause id="a498033" numbering="none">
            <head align="left" preservecase="true">
              <headtext>We may make changes to our site</headtext>
            </head>
            <drafting.note id="a778331" jurisdiction="">
              <head align="left" preservecase="true">
                <headtext>We may make changes to our site</headtext>
              </head>
              <division id="a000019" level="1">
                <para>
                  <paratext>In this term, the online service provider reserves the right to update or remove content published on the website. Experience shows that users tend to visit certain websites for specific content, and that they react in a negative way if certain features to which they have become accustomed are removed by the service provider. It may be arguable that the service provider has represented that it will continue to make those features available or that it has a duty of care to users, which could be breached by the removal of the features without notice. This term seeks to negate any such representation or duty of care.</paratext>
                </para>
                <para>
                  <paratext>
                    From a consumer perspective, terms in a contract or notice that give the trader a unilateral right to alter, without a valid reason and without notice, any characteristics of the digital content or services to be provided, are potentially unfair (see 
                    <link anchor="a470378" href="w-022-6157" style="ACTLinkPLCtoPLC">
                      <ital>Practice note, Consumer contracts: unfair terms and transparency: Grey-listed terms under the CRA</ital>
                    </link>
                    ). We have included optional wording to increase the chances of this provision being found fair. The wording states the reasons why changes may be made and also provides for users to be given notice of changes, to allow them to make alternative arrangements. Good practice would involve the online service provider flagging upcoming changes to its service prominently on the relevant web pages, giving the user reasonable time to adapt to them.
                  </paratext>
                </para>
              </division>
            </drafting.note>
            <para>
              <paratext>
                We may update and change our site from time to time [to reflect changes to our products, our users' needs and our business priorities 
                <bold>OR</bold>
                 [OTHER REASON]]. [We will try to give you reasonable notice of any major changes.]
              </paratext>
            </para>
          </clause>
          <clause id="a662538" numbering="none">
            <head align="left" preservecase="true">
              <headtext>We may suspend or withdraw our site</headtext>
            </head>
            <drafting.note id="a944221" jurisdiction="">
              <head align="left" preservecase="true">
                <headtext>We may suspend or withdraw our site</headtext>
              </head>
              <division id="a000020" level="1">
                <para>
                  <paratext>
                    In this term, the service provider reserves the right to suspend or withdraw the site. Terms that allow a trader to unilaterally terminate supplies to a consumer without good reason are potentially unfair (see 
                    <link anchor="a470378" href="w-022-6157" style="ACTLinkPLCtoPLC">
                      <ital>Practice note, Consumer contracts: unfair terms and transparency: Grey-listed terms under the CRA</ital>
                    </link>
                    ). To reduce the risk of these provisions being found unfair, it is suggested that the service provider should indicate the reasons why it might suspend or withdraw the site and undertake to give reasonable notice of its plans to do so. In practice, notice could be given by way of emails to registered users or information on the site itself.
                  </paratext>
                </para>
              </division>
            </drafting.note>
            <para>
              <paratext>Our site is made available free of charge.</paratext>
            </para>
            <para>
              <paratext>We do not guarantee that our site, or any content on it, will always be available or be uninterrupted. We may suspend or withdraw or restrict the availability of all or any part of our site for business and operational reasons. We will try to give you reasonable notice of any suspension or withdrawal.</paratext>
            </para>
            <para>
              <paratext>You are also responsible for ensuring that all persons who access our site through your internet connection are aware of these terms of service and other applicable terms of service, and that they comply with them.</paratext>
            </para>
          </clause>
          <clause id="a775468" numbering="none">
            <head align="left" preservecase="true">
              <headtext>We may transfer this agreement to someone else</headtext>
            </head>
            <drafting.note id="a389906" jurisdiction="">
              <head align="left" preservecase="true">
                <headtext>We may transfer this agreement to someone else</headtext>
              </head>
              <division id="a000021" level="1">
                <para>
                  <paratext>
                    A trader reserving the right to assign or transfer its rights or obligations where this may serve to reduce the protection for a consumer is considered potentially unfair under the CRA (
                    <ital>paragraph 19, Schedule 2, CRA</ital>
                    ). According to the 
                    <link href="6-618-2345" style="ACTLinkPLCtoPLC">
                      <ital>CMA guidance</ital>
                    </link>
                    <ital> </ital>
                    (
                    <ital>paragraph 5.28</ital>
                    ), a term is unlikely to be fair if it allows for the transfer of rights and obligations that could result in either of the following:
                  </paratext>
                </para>
                <list type="bulleted">
                  <list.item>
                    <para>
                      <paratext>The consumer having to deal with someone who, for instance, offers a poorer service.</paratext>
                    </para>
                  </list.item>
                  <list.item>
                    <para>
                      <paratext>Legal complications, such as a need for the consumer to deal with two traders.</paratext>
                    </para>
                  </list.item>
                </list>
                <para>
                  <paratext>
                    (
                    <ital>Paragraph 5.28</ital>
                    .)
                  </paratext>
                </para>
                <para>
                  <paratext>According to the CMA guidance, an assignment clause is less likely to be considered unfair if it operates only in circumstances which ensure that the consumer's rights under the contract will not be prejudiced in any way.</paratext>
                </para>
              </division>
            </drafting.note>
            <para>
              <paratext>We may transfer our rights and obligations under these terms to another organisation. We will always tell you in writing if this happens and we will ensure that the transfer will not affect your rights under the contract.</paratext>
            </para>
          </clause>
          <clause condition="optional" id="a430726" numbering="none">
            <head align="left" preservecase="true">
              <headtext>Our site is only for users in [England OR the UK]</headtext>
            </head>
            <drafting.note id="a664662" jurisdiction="">
              <head align="left" preservecase="true">
                <headtext>Our site is only for users in [England OR the UK] (optional)</headtext>
              </head>
              <division id="a000022" level="1">
                <para>
                  <paratext>The service provider may have a number of reasons for wanting to restrict use of its service to UK residents or a more restricted area (for example excluding Scotland and Northern Ireland). For example:</paratext>
                </para>
                <list type="bulleted">
                  <list.item>
                    <para>
                      <paratext>It may be difficult to provide products or services it is selling outside England or the UK.</paratext>
                    </para>
                  </list.item>
                  <list.item>
                    <para>
                      <paratext>The trader may not have the resources to check any legal restrictions applicable to its website or to products or services outside England or might not wish to lay itself open to disputes with users in other jurisdictions under other laws.</paratext>
                    </para>
                  </list.item>
                </list>
                <para>
                  <paratext>Using wording stating that the service is not intended for use by users outside the UK is one way of mitigating the above risks. Technological measures may also be possible.</paratext>
                </para>
                <para>
                  <paratext>
                    Note that wording, such as that in this clause, which states that the site is 
                    <bold>directed</bold>
                     to people residing in a certain country is not necessarily effective against legislation in another country that impacts on online services used by people in that country. For example, legislation might bite in relation to services 
                    <bold>likely</bold>
                     to be used by people in that country, regardless of whether the website is directed at them.
                  </paratext>
                </para>
                <para>
                  <paratext>These terms (which reflect English law) would need to be reviewed before their use on an online service directed at users in another jurisdiction.</paratext>
                </para>
              </division>
            </drafting.note>
            <para>
              <paratext>
                Our site is directed to people residing in [England 
                <bold>OR</bold>
                 the United Kingdom]. We do not represent that content available on or through our site is appropriate for use or available in other locations.
              </paratext>
            </para>
          </clause>
          <clause id="a154983" numbering="none">
            <head align="left" preservecase="true">
              <headtext>You must keep your account details safe</headtext>
            </head>
            <drafting.note id="a294490" jurisdiction="">
              <head align="left" preservecase="true">
                <headtext>You must keep your account details safe</headtext>
              </head>
              <division id="a000023" level="1">
                <para>
                  <paratext>This term provides that the user must keep any password or security information confidential. The online service provider may have restricted the persons who can use the site or may simply want to know certain details about who is using it.</paratext>
                </para>
                <para>
                  <paratext>The final paragraph encouraging users to notify the service provider if their access details have been disclosed suggests that the service provider will do something (presumably block access and issue a new password) when it is so notified. The service provider should ensure that it has a process in place to do this.</paratext>
                </para>
              </division>
            </drafting.note>
            <para>
              <paratext>If you choose, or you are provided with, a user identification code, password or any other piece of information as part of our security procedures, you must treat such information as confidential. You must not disclose it to any third party.</paratext>
            </para>
            <para>
              <paratext>We have the right to disable any user identification code or password, whether chosen by you or allocated by us, at any time, if in our reasonable opinion you have failed to comply with any of the provisions of these terms of service.</paratext>
            </para>
            <para>
              <paratext>If you know or suspect that anyone other than you knows your user identification code or password, you must promptly notify us at [EMAIL OR CONTACT DETAILS].</paratext>
            </para>
          </clause>
          <clause id="a553140" numbering="none">
            <head align="left" preservecase="true">
              <headtext>How you may use material on our site</headtext>
            </head>
            <drafting.note id="a486616" jurisdiction="">
              <head align="left" preservecase="true">
                <headtext>How you may use material on our site</headtext>
              </head>
              <division id="a000024" level="1">
                <para>
                  <paratext>This term confirms that all intellectual property rights in the website, and in any material published on it, belong to the service provider or its licensors. Although the service provider grants limited licences to users of the site to use such material, it otherwise asserts the position of the rights owner.</paratext>
                </para>
                <para>
                  <paratext>
                    However, it is unlikely that the term would be successful in preventing visitors from using the material displayed on the website in ways that would be covered by the "fair dealing" provisions set out in Chapter 3 of the 
                    <link href="7-503-9372" style="ACTLinkPLCtoPLC">
                      <ital>Copyright, Designs and Patents Act 1988</ital>
                    </link>
                     (CDPA). For information on the fair dealing defences, see 
                    <link anchor="a844926" href="8-584-8065" style="ACTLinkPLCtoPLC">
                      <ital>Practice note, Copyright: permitted acts: Fair dealing defences</ital>
                    </link>
                    .
                  </paratext>
                </para>
                <para>
                  <paratext>
                    Experience has shown that statutory and contractual provisions aimed at the protection of intellectual property rights are ill-suited, in practice, to preventing unauthorised copying of website content (particularly of music), which takes place on a substantial scale. Although industry bodies such as the British Phonographic Industry (BPI) and the International Federation for the Phonograph Industry (IFPI) have taken steps to enforce their members' intellectual property rights (see 
                    <link href="1-502-7956" style="ACTLinkPLCtoPLC">
                      <ital>Article, Piracy and illegal file-sharing: UK and US legal and commercial responses</ital>
                    </link>
                    ), the time, cost and effort of enforcing those rights are often prohibitive for the individual service provider.
                  </paratext>
                </para>
                <para>
                  <paratext>
                    Rather than relying solely on this term, service providers may also put additional technical measures in place to prevent extraction or copying of the content of the site once the user has obtained access. This is known as copy protection or digital rights management (see 
                    <link href="4-378-7778" style="ACTLinkPLCtoPLC">
                      <ital>Article, Licensing digital content: opportunities and risks</ital>
                    </link>
                    ).
                  </paratext>
                </para>
                <para>
                  <paratext>
                    Where a website's terms of service do not expressly prohibit the copying or re-use of its content, that does not mean that the content can be lawfully copied even if the content was posted on that website with the copyright owner's permission (see 
                    <link anchor="a746672" href="8-584-8065" style="ACTLinkPLCtoPLC">
                      <ital>Practice note, Copyright: permitted acts: Non-CDPA defences, Licence, Website terms: absence of restrictions</ital>
                    </link>
                    ).
                  </paratext>
                </para>
              </division>
            </drafting.note>
            <para>
              <paratext>We are the owner or the licensee of all intellectual property rights in our site, and in the material published on it. Those works are protected by copyright laws and treaties around the world. All such rights are reserved.</paratext>
            </para>
            <para>
              <paratext>You may print off one copy, and may download extracts, of any page(s) from our site for your personal use and you may draw the attention of others within your organisation to content posted on our site.</paratext>
            </para>
            <para>
              <paratext>You must not modify the paper or digital copies of any materials you have printed off or downloaded in any way, and you must not use any illustrations, photographs, video or audio sequences or any graphics separately from any accompanying text.</paratext>
            </para>
            <para>
              <paratext>Our status (and that of any identified contributors) as the authors of content on our site must always be acknowledged (except where the content is user-generated).</paratext>
            </para>
            <para>
              <paratext>You must not use any part of the content on our site for commercial purposes without obtaining a licence to do so from us or our licensors.</paratext>
            </para>
            <para>
              <paratext>If you print off, copy, download, share or repost any part of our site in breach of these terms of service, your right to use our site will cease immediately and you must, at our option, return or destroy any copies of the materials you have made (except that you are permitted to print off a copy of these terms of service).</paratext>
            </para>
          </clause>
          <clause id="a359849" numbering="none">
            <head align="left" preservecase="true">
              <headtext>No text or data mining, or web scraping</headtext>
            </head>
            <drafting.note id="a553195" jurisdiction="">
              <head align="left" preservecase="true">
                <headtext>No text or data mining, or web scraping</headtext>
              </head>
              <division id="a000025" level="1">
                <para>
                  <paratext>This clause is only like to be relevant where the user is a business as it is likely that an individual accessing an online service for the purposes of text or data mining will be doing so in the course of their trade, business, craft or profession, taking them outside the definition of a consumer. The clause may be ineffective against consumers, as it has not been drafted to be compatible with UK consumer laws. As many online services may be visited by both consumers and businesses, we suggest that the clause is included to cover business users. These clauses may not be suitable, without some revision, for use if the website it targeted to the scientific sector in the EU.</paratext>
                </para>
                <para>
                  <paratext>
                    The optional wording in the last paragraph of this clause should be aligned with the wording in the clause: 
                    <link anchor="a430726" href="5-201-7195" style="ACTLinkPLCtoPLC">
                      <ital>Our site is only for users in [England OR the UK]</ital>
                    </link>
                  </paratext>
                </para>
                <para>
                  <paratext>
                    For detailed drafting notes on this clause, see 
                    <link href="w-031-6455" style="ACTLinkPLCtoPLC">
                      <ital>Standard clause, No text or data mining, or web scraping, clauses (including for the purpose of training AI models)</ital>
                    </link>
                    .
                  </paratext>
                </para>
              </division>
            </drafting.note>
            <para>
              <paratext>You shall not conduct, facilitate, authorise or permit any text or data mining or web scraping in relation to our site or any services provided via, or in relation to, our site [for any purpose, including the development, training, fine-tuning or validation of AI systems or models]. This includes using (or permitting, authorising or attempting the use of):</paratext>
            </para>
            <list type="bulleted">
              <list.item>
                <para>
                  <paratext>Any "robot", "bot", "spider", "scraper" or other automated device, program, tool, algorithm, code, process or methodology to access, obtain, copy, monitor or republish any portion of our site or any data, content, information or services accessed via the same.</paratext>
                </para>
              </list.item>
              <list.item>
                <para>
                  <paratext>Any automated analytical technique aimed at analysing text and data in digital form to generate information [or develop, train, fine-tune or validate AI systems or models] which includes but is not limited to patterns, trends and correlations.</paratext>
                </para>
              </list.item>
            </list>
            <para>
              <paratext>
                The provisions in this clause should be treated as an express reservation of our rights in this regard, including for the purposes of Article 4(3) of the Digital Copyright Directive (
                <ital>(EU) 2019/790</ital>
                ).
              </paratext>
            </para>
            <para>
              <paratext>[You shall not use, and we do not consent to the use of, our site, or any data published by, or contained in, or accessible via, our site or any services provided via, or in relation to, our site for the purposes of developing, training, fine-tuning or validating any AI system or model [or for any other purposes not explicitly set out in our [REFER TO WEBSITE ACCEPTABLE USE POLICY OR ONLINE TERMS OF SERVICE]]</paratext>
            </para>
            <para>
              <paratext>This clause will not apply insofar as (but only to the extent that) we are unable to exclude or limit text or data mining or web scraping activity by contract under the laws which are applicable to us.</paratext>
            </para>
            <para>
              <paratext>
                [Our site[, its content and any services provided in relation to the same] [is 
                <bold>OR</bold>
                 are] only targeted to, and intended for use by, individuals located in [TERRITORIES] (each, a 
                <defn.term>Permitted Territory</defn.term>
                ). By continuing to access, view or make use of our site [and any related content and services], you hereby warrant and represent to us that you are located in a Permitted Territory. [If you are not located in a Permitted Territory, you must immediately discontinue use of our site [and any related content and services].]]
              </paratext>
            </para>
          </clause>
          <clause id="a619999" numbering="none">
            <head align="left" preservecase="true">
              <headtext>Rules about linking to our site</headtext>
            </head>
            <drafting.note id="a679832" jurisdiction="">
              <head align="left" preservecase="true">
                <headtext>Rules about linking to our site</headtext>
              </head>
              <division id="a000026" level="1">
                <para>
                  <paratext>This term allows the user to link to the website, provided certain conditions are met. It sets out in detail the ways in which a third party website owner may set up a link from their website to the service provider's website. It also makes clear that any other form of linking to the website is subject to the service provider's express consent.</paratext>
                </para>
                <para>
                  <paratext>
                    For discussion of the legal issues, see 
                    <link href="9-107-4788" style="ACTLinkPLCtoPLC">
                      <ital>Practice note, Linking and framing</ital>
                    </link>
                    .
                  </paratext>
                </para>
              </division>
            </drafting.note>
            <para>
              <paratext>You may link to our home page, provided you do so in a way that is fair and legal and does not damage our reputation or take advantage of it.</paratext>
            </para>
            <para>
              <paratext>You must not establish a link in such a way as to suggest any form of association, approval or endorsement on our part where none exists.</paratext>
            </para>
            <para>
              <paratext>You must not establish a link to our site in any website that is not owned by you.</paratext>
            </para>
            <para>
              <paratext>Our site must not be framed on any other site, nor may you create a link to any part of our site other than the home page.</paratext>
            </para>
            <para>
              <paratext>We reserve the right to withdraw linking permission without notice.</paratext>
            </para>
            <para>
              <paratext>
                The website in which you are linking must comply in all respects our [Acceptable Use Policy 
                <bold>OR</bold>
                 Community Standards] [INSERT AS LINK TO ACCEPTABLE USE POLICY OR COMMUNITY STANDARDS WHETHER AS A CLAUSE OR SEPARATE POLICY].
              </paratext>
            </para>
            <para>
              <paratext>If you wish to link to or make any use of content on our site other than that set out above, please contact [EMAIL ADDRESS].</paratext>
            </para>
          </clause>
          <clause id="a559821" numbering="none">
            <head align="left" preservecase="true">
              <headtext>Our trade marks are registered</headtext>
            </head>
            <drafting.note id="a814850" jurisdiction="">
              <head align="left" preservecase="true">
                <headtext>Our trade marks are registered</headtext>
              </head>
              <division id="a000027" level="1">
                <para>
                  <paratext>This term makes clear that certain names or logos are trade marks of the service provider and that their unauthorised use would constitute a violation of the service provider's intellectual property rights.</paratext>
                </para>
              </division>
            </drafting.note>
            <para>
              <paratext>
                ["TRADE MARK 1"] and ["TRADE MARK 2"] are [UK registered] trade marks of [COMPANY NAME]. You are not permitted to use them without our approval, unless they are part of material you are using as permitted under 
                <ital>How you may use material on our site</ital>
                 [INSERT AS LINK].
              </paratext>
            </para>
          </clause>
          <clause id="a766456" numbering="none">
            <head align="left" preservecase="true">
              <headtext>Uploading content to our site</headtext>
            </head>
            <drafting.note id="a124857" jurisdiction="">
              <head align="left" preservecase="true">
                <headtext>Uploading content to our site</headtext>
              </head>
              <division id="a000028" level="1">
                <division id="a196344" level="2">
                  <head align="left" preservecase="true">
                    <headtext>Users to click accept terms before uploading content</headtext>
                  </head>
                  <para>
                    <paratext>
                      If UGC is permitted on the service, before uploading any content, users should be obliged to click to accept the website terms of service, so creating a contract (see 
                      <internal.reference refid="a190196">
                        <ital>Drafting note, Contract or notice</ital>
                      </internal.reference>
                      ). If no contract is formed, the warranties and indemnity in this clause would not be enforceable and the service provider may also not have as wide a licence to use uploaded content as is being sought in this clause.
                    </paratext>
                  </para>
                  <para>
                    <paratext>
                      Note that this provision should be included if users can upload content, even where they are not able to interact with or comment on content uploaded by other users. The optional wording in the first sentence of this provision reflects this difference. However, if users are able to interact with or comment on content uploaded by other users, this is likely to bring the service within scope of the OSA and the service will need to consider including the following: 
                      <link href="w-042-2581" style="ACTLinkPLCtoPLC">
                        <ital>Standard clause, Website terms of service: user-to-user service (UK)</ital>
                      </link>
                      .
                    </paratext>
                  </para>
                </division>
                <division id="a900511" level="2">
                  <head align="left" preservecase="true">
                    <headtext>Service provider's liability for uploaded content</headtext>
                  </head>
                  <para>
                    <paratext>The service provider's liability for material uploaded by users is generally limited (the duties imposed on service providers by the OSA involve creating systems to prevent harmful or illegal content being uploaded but do not impose obligations on service providers in relation to specific pieces of content).</paratext>
                  </para>
                  <para>
                    <paratext>
                      However, the service provider may, in certain situations, be deemed to have acted as a publisher of the content in question. This means that the service provider may become liable where the material uploaded by the user is defamatory (see 
                      <link href="8-584-3416" style="ACTLinkPLCtoPLC">
                        <ital>Practice note, Defamation: overview</ital>
                      </link>
                      ) or where its publication violates a third party's intellectual property rights.
                    </paratext>
                  </para>
                </division>
                <division id="a851276" level="2">
                  <head align="left" preservecase="true">
                    <headtext>Contractual protections for the service provider</headtext>
                  </head>
                  <para>
                    <paratext>
                      Where the service provider is unable to avoid liability for content uploaded by users, it will want to be able to bring a claim against the relevant user, for any loss or damage incurred by the service provider in this respect. This term includes a warranty by the user that any contribution they make to the service complies with the service provider's acceptable use standards. It also contains an indemnity for any loss or damage incurred by the service provider arising from a breach by the user of that warranty. Note that a term in a contract with a consumer, by which the consumer is required to indemnify another person (whether a party to the contract or not) for liability incurred by the other person for negligence or breach of contract, is enforceable only to the extent that it satisfies the fairness test in the CRA. For more on this, see 
                      <link href="w-022-6157" style="ACTLinkPLCtoPLC">
                        <ital>Practice notes, Consumer contracts: unfair terms and transparency</ital>
                      </link>
                       and 
                      <link anchor="a919385" href="4-543-6245" style="ACTLinkPLCtoPLC">
                        <ital>Unfair notices to consumers: Fairness test</ital>
                      </link>
                      .
                    </paratext>
                  </para>
                </division>
                <division id="a254967" level="2">
                  <head align="left" preservecase="true">
                    <headtext>Acceptable use standards</headtext>
                  </head>
                  <para>
                    <paratext>
                      The acceptable use standards with which users of the online service have to comply can be set out in the website terms of service. However, in practice, many service providers include such acceptable use standards in a separate policy or "community standards". In this event, a link to the webpage displaying the acceptable use policy or community standards should be included in this term. (See 
                      <link href="9-201-6274" style="ACTLinkPLCtoPLC">
                        <ital>Standard clause, Website terms of service: acceptable use (UK)</ital>
                      </link>
                      .)
                    </paratext>
                  </para>
                </division>
                <division id="a873486" level="2">
                  <head align="left" preservecase="true">
                    <headtext>Obtaining consent for disclosure to third parties</headtext>
                  </head>
                  <para>
                    <paratext>
                      Service providers may be under a legal obligation to disclose to third parties, including public authorities, material uploaded to the service as well as the identity of the user responsible for uploading the material. For example, U2U services must report child sexual exploitation and abuse material to the National Crime Agency (
                      <link href="w-041-5044" style="ACTLinkPLCtoPLC">
                        <ital>section 66</ital>
                      </link>
                      <ital>, OSA</ital>
                      ).
                    </paratext>
                  </para>
                  <para>
                    <paratext>
                      In the past, users have claimed that information uploaded by them onto an online service was confidential and proprietary, and that the copying of the material necessary for such disclosure breached their intellectual property rights. Users have also claimed that disclosure of their identity and personal details to public authorities and third parties seeking to bring a claim against them (for instance, for defamation or breach of intellectual property rights) violates their rights under data protection legislation. This was of particular interest in several cases brought by the BPI against internet service providers (ISPs) whose customers used their internet access for the purpose of illegal peer-to-peer file sharing and copying of digital music (see 
                      <link href="4-103-0179" style="ACTLinkPLCtoPLC">
                        <ital>Legal update, ISPs forced to reveal names of illegal file swappers</ital>
                      </link>
                      ). Although the courts have decided in favour of disclosure by the ISPs in nearly all known cases, and notwithstanding the obligation to report in section 66 of the OSA, the service provider should ideally obtain the user's consent to such disclosure at the start of the relationship. This term obtains such consent. Also, in this context, see 
                      <link href="0-629-7392" style="ACTLinkPLCtoPLC">
                        <ital>Legal update, Advocate General finds dynamic IP addresses can be personal data</ital>
                      </link>
                      .
                    </paratext>
                  </para>
                </division>
                <division id="a506342" level="2">
                  <head align="left" preservecase="true">
                    <headtext>Service provider's rights to take materials down</headtext>
                  </head>
                  <para>
                    <paratext>
                      The service provider may be legally obliged to remove material posted by a user from the website, if such material is defamatory or in breach of a third party's intellectual property rights, to avoid liability for such material under regulation 19 (hosting) of the E-Commerce Regulations. It may also remove material under systems it has put in place to protect users from illegal or harmful content. This term authorises such removal. (See 
                      <link anchor="a703506" href="8-584-3416" style="ACTLinkPLCtoPLC">
                        <ital>Practice note, Defamation: overview: Defences under the E-Commerce Regulations 2002</ital>
                      </link>
                       and 
                      <link anchor="a951411" href="w-030-3139" style="ACTLinkPLCtoPLC">
                        <ital>Online Safety Act 2023: Illegal content duties (section 10(2)-(8))</ital>
                      </link>
                      .)
                    </paratext>
                  </para>
                </division>
              </division>
            </drafting.note>
            <para>
              <paratext>
                Whenever you make use of a feature that allows you to create content directly on our site[, upload or share content to our site, or to make contact with other users of our site], you must comply with the standards set out in our [Acceptable Use Policy 
                <bold>OR</bold>
                 Community Standards] [INSERT AS LINK TO ACCEPTABLE USE POLICY OR COMMUNITY STANDARDS, WHETHER DRAFTED AS A CLAUSE OR SEPARATE DOCUMENT].
              </paratext>
            </para>
            <para>
              <paratext>You warrant that any such contribution complies with those standards, and you are liable to us and indemnify us for any breach of that warranty. This means you will be responsible for any loss or damage we suffer as a result of your breach of warranty.</paratext>
            </para>
            <para>
              <paratext>We will consider any content you upload to our site to be non-confidential and not protected by any trade mark, patent or copyright ("non-proprietary"), that is, in the public domain. You own your content, but you are required to grant us [and other users of our site] a limited licence to use, store and copy that content and to distribute and make it available to others. The rights you license to us are described in [INSERT AS LINK TO RIGHTS YOU ARE GIVING US TO MATERIAL YOU UPLOAD CLAUSE].</paratext>
            </para>
            <para>
              <paratext>We also have the right to disclose your identity to anyone who is claiming that any content posted or uploaded by you to our site violates their intellectual property rights or their right to privacy.</paratext>
            </para>
            <para>
              <paratext>
                We have the right to remove any posting you make on our site if, in our opinion, your post does not comply with the acceptable use standards set out in our [Acceptable Use Policy 
                <bold>OR</bold>
                 Community Standards] [INSERT AS LINK TO ACCEPTABLE USE POLICY OR COMMUNITY STANDARDS, WHETHER DRAFTED AS A CLAUSE OR SEPARATE DOCUMENT].
              </paratext>
            </para>
            <para>
              <paratext>If you wish to contact us in relation to content you have uploaded to our site and that we have taken down, please contact [LINK TO CONTACT US DETAILS].</paratext>
            </para>
          </clause>
          <clause id="a182167" numbering="none">
            <head align="left" preservecase="true">
              <headtext>Rights you are giving us to use material you upload</headtext>
            </head>
            <drafting.note id="a789911" jurisdiction="">
              <head align="left" preservecase="true">
                <headtext>Rights you are giving us to use material you upload</headtext>
              </head>
              <division id="a000029" level="1">
                <para>
                  <paratext>The licences required to permit the website operator to use content uploaded by a user for its own commercial purposes will depend on the type of service it offers and the type of third parties that require rights to use that content.</paratext>
                </para>
                <para>
                  <paratext>As a general rule, a website operator will require a perpetual, worldwide, non-exclusive, royalty-free, transferable licence to use, reproduce, distribute, prepare derivative works of, display, and perform that UGC in connection with the service provided by the website and across different media. It may also wish to use the content to promote the site or the service.</paratext>
                </para>
                <para>
                  <paratext>In addition, the website operator may want to obtain a licence that allows third parties (for example, other users, partners or advertisers) to use the content for their purposes or in accordance with the functionality of the site.</paratext>
                </para>
                <para>
                  <paratext>The terms should state the period for which these licences are in place, in particular, if they expire when the user deletes the content from the site.</paratext>
                </para>
                <para>
                  <paratext>
                    Note that if the website enables users to interact with content posted by other users, it may be subject to the OSA and you should consider adding additional clauses as required by the OSA, such as 
                    <link href="w-042-2581" style="ACTLinkPLCtoPLC">
                      <ital>Standard clause, Website terms of service: user-to-user service (UK)</ital>
                    </link>
                    .
                  </paratext>
                </para>
              </division>
            </drafting.note>
            <para>
              <paratext>When you upload or post content to our site, you grant us the following rights to use that content:</paratext>
            </para>
            <list type="bulleted">
              <list.item>
                <para>
                  <paratext>
                    [A worldwide, non-exclusive, royalty-free, transferable licence to use, reproduce, distribute, prepare derivative works of, display, and perform that user-generated content in connection with the service provided by the website and across different media [including to promote our site or the service] [to expire when the user deletes the content from our site 
                    <bold>OR</bold>
                     forever 
                    <bold>OR</bold>
                     [SPECIFY TERM]].]
                  </paratext>
                </para>
              </list.item>
              <list.item>
                <para>
                  <paratext>
                    [A worldwide, non-exclusive, royalty-free, transferable licence for other users, partners or advertisers to use the content [for their purposes 
                    <bold>OR</bold>
                     in accordance with the functionality of our site] [to expire when the user deletes the content from our site 
                    <bold>OR</bold>
                     forever 
                    <bold>OR</bold>
                     [SPECIFY TERM]].]
                  </paratext>
                </para>
              </list.item>
            </list>
          </clause>
          <clause id="a721704" numbering="none">
            <head align="left" preservecase="true">
              <headtext>User-generated content is not approved by us</headtext>
            </head>
            <drafting.note id="a620307" jurisdiction="">
              <head align="left" preservecase="true">
                <headtext>User-generated content is not approved by us</headtext>
              </head>
              <division id="a000030" level="1">
                <para>
                  <paratext>
                    For a discussion of the service provider's liability for UGC, see 
                    <internal.reference refid="a124857">
                      <ital>Drafting note, Uploading content to our site</ital>
                    </internal.reference>
                    .
                  </paratext>
                </para>
                <para>
                  <paratext>
                    Note that if your site does include social media or any other form of service that allows users to interact with one another, you also need to include in your website terms of service additional clauses to comply with the OSA, such as 
                    <link href="w-042-2581" style="ACTLinkPLCtoPLC">
                      <ital>Standard clause, Website terms of service: user-to-user service (UK)</ital>
                    </link>
                    .
                  </paratext>
                </para>
              </division>
            </drafting.note>
            <para>
              <paratext>Our site may include information and materials uploaded by other users. This information and these materials have not been verified or approved by us. The views expressed by other users on our site do not represent our views or values.</paratext>
            </para>
          </clause>
          <clause id="a986618" numbering="none">
            <head align="left" preservecase="true">
              <headtext>Do not rely on information on this site</headtext>
            </head>
            <drafting.note id="a181412" jurisdiction="">
              <head align="left" preservecase="true">
                <headtext>Do not rely on information on this site</headtext>
              </head>
              <division id="a000031" level="1">
                <para>
                  <paratext>
                    Many online services provide (often free of charge) information to users on specialised topics such as health, financial or legal issues. The service provider will be concerned that, even if information is given for free, the provision of such information may in limited circumstances result in the service provider assuming liability under the 
                    <ital>Hedley Byrne</ital>
                     and 
                    <ital>Caparo</ital>
                     principles (see 
                    <link href="2-379-9503" style="ACTLinkPLCtoPLC">
                      <ital>Practice note, Negligent misstatement</ital>
                    </link>
                    ).
                  </paratext>
                </para>
                <para>
                  <paratext>Liability in tort may arise where the person providing the advice (the service provider, one of their employees or contributors) may owe a duty of care to the online service's users because they have certain special knowledge, are aware that the user is likely to access the advice for a specific purpose and are aware that the user would reasonably rely on the advice for that purpose.</paratext>
                </para>
                <para>
                  <paratext>However, online service providers may be able to avoid such liability by including on their service appropriate disclaimers or statements, which are designed to limit the expectations of their users.</paratext>
                </para>
                <para>
                  <paratext>
                    For example, in 
                    <link href="D-011-7162" style="ACTLinkURL">
                      <ital>Gary Patchett and another v Swimming Pool &amp; Allied Trades Association Ltd [2009] EWCA Civ 717</ital>
                    </link>
                    , in a claim for damages for negligent misstatement, the Court of Appeal held that a trade association did not owe a duty of care to users of its website for a statement that members of the trade association had been vetted and their work was guaranteed by the trade association (see 
                    <link href="9-386-6198" style="ACTLinkPLCtoPLC">
                      <ital>Legal update, Court of Appeal holds that website owner did not owe a duty of care to user</ital>
                    </link>
                    ). The court held that, although the trade association knew users would be likely to rely on the statements made on the website, it had also advised that potential customers should obtain an information pack before engaging a contractor (which the claimants failed to do). This meant that there was not sufficient proximity between the online service provider and the claimants to give rise to a duty of care.
                  </paratext>
                </para>
                <para>
                  <paratext>
                    As such, this term includes express statements about the status of the content (for information purposes only). It also, importantly (in the light of 
                    <ital>Gary Patchett</ital>
                    ), tells the user to obtain specific professional or specialist advice before doing anything on the basis of the content.
                  </paratext>
                </para>
                <para>
                  <paratext>
                    See 
                    <link href="2-379-9503" style="ACTLinkPLCtoPLC">
                      <ital>Practice note, Negligent misstatement</ital>
                    </link>
                    .
                  </paratext>
                </para>
              </division>
            </drafting.note>
            <para>
              <paratext>The content on our site is provided for general information only. It is not intended to amount to advice on which you should rely. You must obtain professional or specialist advice before taking, or refraining from, any action on the basis of the content on our site.</paratext>
            </para>
            <para>
              <paratext>Although we make reasonable efforts to update the information on our site, we make no representations, warranties or guarantees, whether express or implied, that the content on our site is accurate, complete or up to date.</paratext>
            </para>
          </clause>
          <clause id="a712368" numbering="none">
            <head align="left" preservecase="true">
              <headtext>We are not responsible for websites we link to</headtext>
            </head>
            <drafting.note id="a940218" jurisdiction="">
              <head align="left" preservecase="true">
                <headtext>We are not responsible for websites we link to</headtext>
              </head>
              <division id="a000032" level="1">
                <para>
                  <paratext>
                    An online service provider who links to another service's website risks becoming a party to legal action if the linked site contains unlawful content, such as obscene or defamatory material or material that is subject to a confidentiality obligation (for example, see 
                    <link href="5-518-9013" style="ACTLinkPLCtoPLC">
                      <ital>Legal update, High Court rules hyperlinks to unlawful content might incur liability</ital>
                    </link>
                    ). For discussion of the legal issues, see 
                    <link href="9-107-4788" style="ACTLinkPLCtoPLC">
                      <ital>Practice note, Linking and framing</ital>
                    </link>
                    .
                  </paratext>
                </para>
                <para>
                  <paratext>This term seeks to exclude any potential liability of the service provider in such cases.</paratext>
                </para>
              </division>
            </drafting.note>
            <para>
              <paratext>Where our site contains links to other sites and resources provided by third parties, these links are provided for your information only. Such links should not be interpreted as approval by us of those linked websites or information you may obtain from them.</paratext>
            </para>
            <para>
              <paratext>We have no control over the contents of those sites or resources.</paratext>
            </para>
          </clause>
          <clause id="a641544" numbering="none">
            <head align="left" preservecase="true">
              <headtext>We are not responsible for viruses</headtext>
            </head>
            <para>
              <paratext>We do not guarantee that our site will be secure or free from bugs or viruses.</paratext>
            </para>
            <para>
              <paratext>You are responsible for configuring your information technology, computer programs and platform to access our site. You should use your own virus protection software.</paratext>
            </para>
          </clause>
          <clause id="a523812" numbering="none">
            <head align="left" preservecase="true">
              <headtext>You must not introduce viruses</headtext>
            </head>
            <drafting.note id="a383002" jurisdiction="">
              <head align="left" preservecase="true">
                <headtext>You must not introduce viruses</headtext>
              </head>
              <division id="a000033" level="1">
                <para>
                  <paratext>Online services can be targeted by hackers and others who, for commercial gain or criminal purposes, try to disable the service or to gain access to databases connected to it (for example, databases containing customers' credit card details). To this end, they may introduce a virus or other technologically harmful material or launch denial-of-service or distribute denial-of-service attacks.</paratext>
                </para>
                <para>
                  <paratext>
                    In the majority of cases, the user in question will be deemed to have committed a criminal offence under the 
                    <link href="8-509-2566" style="ACTLinkPLCtoPLC">
                      <ital>Computer Misuse Act 1990</ital>
                    </link>
                     and will face criminal liability. However, online service providers should note that under certain circumstances, denial-of-service attacks will not constitute a criminal offence (see 
                    <link href="5-201-5686" style="ACTLinkPLCtoPLC">
                      <ital>Legal update, Magistrates' court dismisses charges arising from denial-of-service attack</ital>
                    </link>
                    ). See also 
                    <link href="9-605-6185" style="ACTLinkPLCtoPLC">
                      <ital>Legal update, Commencement regulations under Serious Crime Act 2015: IP&amp;IT and Media &amp; Telecoms implications</ital>
                    </link>
                     in relation to the creation of an offence of unauthorised acts in relation to a computer that resulted in serious damage.
                  </paratext>
                </para>
                <para>
                  <paratext>This term does the following:</paratext>
                </para>
                <list type="bulleted">
                  <list.item>
                    <para>
                      <paratext>Allows the service provider to disclose information relating to the relevant user's identity to law enforcement authorities and to suspend a user's right to use the service with immediate effect.</paratext>
                    </para>
                  </list.item>
                  <list.item>
                    <para>
                      <paratext>
                        States that any such action by the user will be deemed to be a breach of the terms of service, which may result in the user being liable for any loss or damage incurred by the service provider as a result of such an attack. In practice, there have been few cases where online service providers have brought civil claims against hackers and other perpetrators of computer crime. However, with recent increases in computer crime and improvements in computer forensics, companies may in the future decide to bring more civil actions against the perpetrators. This term seeks to improve an online service provider's legal position by giving them a claim for breach of contract in these situations. Such a claim will only be possible if the user has click accepted the terms of service (see 
                        <internal.reference refid="a190196">
                          <ital>Drafting note, Contract or notice</ital>
                        </internal.reference>
                        ).
                      </paratext>
                    </para>
                  </list.item>
                </list>
              </division>
            </drafting.note>
            <para>
              <paratext>You must not misuse our site by knowingly introducing viruses, trojans, worms, logic bombs or other material that is malicious or technologically harmful, or otherwise harmfully interacting with our site or any part of it. You must not attempt to gain unauthorised access to our site, the server on which our site is stored or any server, computer or database connected to our site or any other equipment or network connected with our site. You must not interfere with, damage or disrupt any software used in the provision of our site or any equipment or network or software owned or used by any third party on which this site relies in any way. You must not attack our site via a denial-of-service attack or a distributed denial-of-service attack. By breaching this provision, you would commit a criminal offence under the Computer Misuse Act 1990. We will report any such breach to the relevant law enforcement authorities and we will co-operate with those authorities by disclosing your identity to them. In the event of such a breach, your right to use our site will cease immediately.</paratext>
            </para>
          </clause>
          <clause id="a817008" numbering="none">
            <head align="left" preservecase="true">
              <headtext>Our responsibility for loss or damage suffered by you</headtext>
            </head>
            <drafting.note id="a904854" jurisdiction="">
              <head align="left" preservecase="true">
                <headtext>Our responsibility for loss or damage suffered by you</headtext>
              </head>
              <division id="a000034" level="1">
                <para>
                  <paratext>While the potential liabilities of each online service should be assessed by looking at their content and functionality, it is likely that the following potential claims could be made for most of them:</paratext>
                </para>
                <list type="bulleted">
                  <list.item>
                    <para>
                      <paratext>
                        Liability for loss or damage arising out of reliance on or use of content on the site (see 
                        <internal.reference refid="a181412">
                          <ital>Drafting note, Do not rely on information on this site</ital>
                        </internal.reference>
                        ).
                      </paratext>
                    </para>
                  </list.item>
                  <list.item>
                    <para>
                      <paratext>
                        Liability for loss or damage arising out of inability to use the site (see 
                        <internal.reference refid="a778331">
                          <ital>Drafting note, We may make changes to our site</ital>
                        </internal.reference>
                         and 
                        <internal.reference refid="a944221">
                          <ital>Drafting note, We may suspend or withdraw our site</ital>
                        </internal.reference>
                        ).
                      </paratext>
                    </para>
                  </list.item>
                  <list.item>
                    <para>
                      <paratext>
                        Liability for loss or damage caused by viruses on the site that affect the user (see 
                        <ital>We are not responsible for viruses</ital>
                         [INSERT AS LINK]).
                      </paratext>
                    </para>
                  </list.item>
                  <list.item>
                    <para>
                      <paratext>
                        Liability for loss or damage arising from third party websites linked in the site (see 
                        <internal.reference refid="a712368">
                          <ital>We are not responsible for websites we link to</ital>
                        </internal.reference>
                        ).
                      </paratext>
                    </para>
                  </list.item>
                  <list.item>
                    <para>
                      <paratext>
                        If relevant, liability for loss or damage arising out of goods or services sold to the user via the site. In this standard document, there are no terms of service dealing with sale terms, as these, and their relevant limitation of liability terms, are dealt with in 
                        <link href="9-617-4909" style="ACTLinkPLCtoPLC">
                          <ital>Standard document, Consumer goods, services and digital content terms and conditions (all channels)</ital>
                        </link>
                        . There is however a term bringing this to the attention of the user.
                      </paratext>
                    </para>
                  </list.item>
                </list>
                <para>
                  <paratext>Many service providers seek to wholly exclude all these liabilities as against both consumers and businesses. However, these terms take a different approach with regard to consumers for the following reasons:</paratext>
                </para>
                <list type="bulleted">
                  <list.item>
                    <para>
                      <paratext>
                        Including a limit on liability presupposes that there is a contract with the consumer (if there is no contract, no limits may be effectively imposed in any case (see 
                        <internal.reference refid="a190196">
                          <ital>Drafting note, Contract or notice</ital>
                        </internal.reference>
                        )).
                      </paratext>
                    </para>
                  </list.item>
                  <list.item>
                    <para>
                      <paratext>
                        If there is a contract, the 
                        <link href="0-606-7466" style="ACTLinkPLCtoPLC">
                          <ital>CRA</ital>
                        </link>
                         will imply terms into it requiring the service provider to use reasonable skill and care, provide services within a reasonable timescale and ensure that the services will match their description.
                      </paratext>
                    </para>
                  </list.item>
                  <list.item>
                    <para>
                      <paratext>
                        Wholly excluding these terms or liability for their breach is prohibited under the CRA; such exclusions would be unenforceable. Limiting liability for breach of such terms is permitted, where this is fair. However, this would involve setting a financial limit, which may be difficult to do, and may in any case be ineffective given that the CMA does not consider it fair to seek to deprive consumers of compensation in any circumstances in which they would normally be entitled to it by law (
                        <ital>paragraph 5.3.4, </ital>
                        <link href="6-618-2345" style="ACTLinkPLCtoPLC">
                          <ital>CMA guidance</ital>
                        </link>
                        ).
                      </paratext>
                    </para>
                  </list.item>
                  <list.item>
                    <para>
                      <paratext>
                        Including terms that mislead consumers about their legal rights can attract enforcement action and criminal penalties (see 
                        <internal.reference refid="a595770">
                          <ital>Drafting note, Consequences of non-compliance with consumer and business legislation</ital>
                        </internal.reference>
                        ).
                      </paratext>
                    </para>
                  </list.item>
                </list>
                <para>
                  <paratext>Instead, as against consumers:</paratext>
                </para>
                <list type="bulleted">
                  <list.item>
                    <para>
                      <paratext>The clause makes it clear that no other wording, for example the provision stating the information should not be relied on, is an attempt to exclude liability that cannot be excluded by law, such as liability for death or personal injury caused by negligence. Wording that could be used to try to exclude non-excludable liabilities may be struck out in its entirety, even when it is only being used to protect against lesser liabilities.</paratext>
                    </para>
                  </list.item>
                  <list.item>
                    <para>
                      <paratext>The clause suggests areas in which consumers would have no valid claim, such as for business losses or for damage caused by digital content where this could have been avoided by proper installation.</paratext>
                    </para>
                  </list.item>
                </list>
                <para>
                  <paratext>Other steps a service provider can take to minimise its liability include:</paratext>
                </para>
                <list type="bulleted">
                  <list.item>
                    <para>
                      <paratext>Clearly setting out any limits to the scope and purpose of the online service not just in the conditions but on the web pages themselves.</paratext>
                    </para>
                  </list.item>
                  <list.item>
                    <para>
                      <paratext>Having in place and following clear policies designed to discharge any contractual obligation to use reasonable skill and care and to discharge any duty of care that might give rise to an action in negligence. These might include policies for promptly dealing with complaints and keeping users informed of planned changes to and suspensions of the site by the use of pop-ups or other methods. The steps taken should be documented, so that they are available for use in evidence, should a claim be made.</paratext>
                    </para>
                  </list.item>
                </list>
                <para>
                  <paratext>
                    As against businesses, the clause takes the standard approach of trying to exclude all the anticipated liabilities. However, such exclusions will only be effective if they are found to be reasonable (see 
                    <internal.reference refid="a825825">
                      <ital>Drafting note, Business controls only applicable to terms that are contracts</ital>
                    </internal.reference>
                    ).
                  </paratext>
                </para>
              </division>
            </drafting.note>
            <para>
              <paratext>
                <bold>Whether you are a consumer or a business user:</bold>
              </paratext>
            </para>
            <list type="bulleted">
              <list.item>
                <para>
                  <paratext>We do not exclude or limit in any way our liability to you where it would be unlawful to do so. This includes liability for death or personal injury caused by our negligence or the negligence of our employees, agents or subcontractors and for fraud or fraudulent misrepresentation.</paratext>
                </para>
              </list.item>
              <list.item>
                <para>
                  <paratext>Different limitations and exclusions of liability will apply to liability arising as a result of the supply of any products to you, which will be set out in our Terms and Conditions of Supply [INSERT AS LINK TO WEBSITE TERMS AND CONDITIONS OF SUPPLY].</paratext>
                </para>
              </list.item>
            </list>
            <para>
              <paratext>
                <bold>If you are a business user:</bold>
              </paratext>
            </para>
            <list type="bulleted">
              <list.item>
                <para>
                  <paratext>We exclude all implied conditions, warranties, representations or other terms that may apply to our site or any content on it.</paratext>
                </para>
              </list.item>
              <list.item>
                <para>
                  <paratext>We will not be liable to you for any loss or damage, whether in contract, tort (including negligence), breach of statutory duty, or otherwise, even if foreseeable, arising under or in connection with:</paratext>
                </para>
                <list type="bulleted">
                  <list.item>
                    <para>
                      <paratext>use of, or inability to use, our site; or</paratext>
                    </para>
                  </list.item>
                  <list.item>
                    <para>
                      <paratext>use of or reliance on any content displayed on our site.</paratext>
                    </para>
                  </list.item>
                </list>
              </list.item>
              <list.item>
                <para>
                  <paratext>In particular, we will not be liable for:</paratext>
                </para>
                <list type="bulleted">
                  <list.item>
                    <para>
                      <paratext>loss of profits, sales, business, or revenue;</paratext>
                    </para>
                  </list.item>
                  <list.item>
                    <para>
                      <paratext>business interruption;</paratext>
                    </para>
                  </list.item>
                  <list.item>
                    <para>
                      <paratext>loss of anticipated savings;</paratext>
                    </para>
                  </list.item>
                  <list.item>
                    <para>
                      <paratext>loss of business opportunity, goodwill or reputation; or</paratext>
                    </para>
                  </list.item>
                  <list.item>
                    <para>
                      <paratext>any indirect or consequential loss or damage.</paratext>
                    </para>
                  </list.item>
                </list>
              </list.item>
            </list>
            <para>
              <paratext>
                <bold>If you are a consumer user:</bold>
              </paratext>
            </para>
            <list type="bulleted">
              <list.item>
                <para>
                  <paratext>We only provide our site for domestic and private use. You agree not to use our site for any commercial or business purposes, and we have no liability to you for any loss of profit, loss of business, business interruption, or loss of business opportunity.</paratext>
                </para>
              </list.item>
              <list.item>
                <para>
                  <paratext>If defective digital content that we have supplied damages a device or digital content belonging to you and this is caused by our failure to use reasonable care and skill, we will either repair the damage or pay you compensation. [However, we will not be liable for damage that you could have avoided by following our advice to apply an update offered to you free of charge or for damage that was caused by you failing to correctly follow installation instructions or to have in place the minimum system requirements advised by us.]</paratext>
                </para>
              </list.item>
            </list>
            <drafting.note id="a102512" jurisdiction="">
              <head align="left" preservecase="true">
                <headtext>Exclusion of liability for digital content</headtext>
              </head>
              <division id="a000035" level="1">
                <para>
                  <paratext>
                    The first sentence reflects the trader's liability for damage caused by digital content (
                    <link href="2-608-1598" style="ACTLinkPLCtoPLC">
                      <ital>section 46</ital>
                    </link>
                    <ital>, CRA</ital>
                    ) (see 
                    <link anchor="a254527" href="w-023-1455" style="ACTLinkPLCtoPLC">
                      <ital>Practice note, Consumer contracts: supplying digital content: Liability for damage caused by digital content</ital>
                    </link>
                    ).
                  </paratext>
                </para>
                <para>
                  <paratext>A trader may limit its liability for such damage, provided the limit passes the fairness test. What constitutes exercising reasonable care and skill and what can fairly be excluded will depend on the circumstances (for example (but not exhaustively), the content itself, the platform, related content, the target consumer market and known issues in any of those).</paratext>
                </para>
                <para>
                  <paratext>The wording in the square brackets should only be included if relevant to the particular circumstances of the digital content in question. It is best to ask the provider of the digital content what could go wrong in terms of damage to other content or devices, what the consumer could do to prevent that happening, and whether it would be fair to expect the consumer to take on those responsibilities.</paratext>
                </para>
              </division>
            </drafting.note>
            <subclause1 id="a689583" numbering="none">
              <head align="left" preservecase="true">
                <headtext>How we may use your personal information</headtext>
              </head>
              <drafting.note id="a964598" jurisdiction="">
                <head align="left" preservecase="true">
                  <headtext>How we may use your personal information</headtext>
                </head>
                <division id="a000036" level="1">
                  <para>
                    <paratext>When dealing with a consumer's personal data, traders must comply with data protection and privacy laws. In particular, the requirement for transparency means that certain information must be provided to consumers about how their personal data is being processed.</paratext>
                  </para>
                  <para>
                    <paratext>Best practice is to set out the transparency information in a stand-alone privacy policy which is prominently flagged to the consumer. These terms of service do not duplicate the privacy policy; to do so is unnecessary. However, a link to the privacy policy is provided.</paratext>
                  </para>
                  <para>
                    <paratext>
                      For a sample privacy policy, see 
                      <link href="w-013-3605" style="ACTLinkPLCtoPLC">
                        <ital>Standard document, Website privacy policy (UK)</ital>
                      </link>
                      .
                    </paratext>
                  </para>
                  <para>
                    <paratext>
                      Sites likely to be accessed by children must comply with the ICO's Children's Code. For more information, see 
                      <link href="w-042-2620" style="ACTLinkPLCtoPLC">
                        <ital>Practice note, Website terms of service: drafting for children (UK)</ital>
                      </link>
                      .
                    </paratext>
                  </para>
                </division>
              </drafting.note>
            </subclause1>
            <para>
              <paratext>We will only use your personal information as set out in our [LINK TO PRIVACY POLICY].</paratext>
            </para>
          </clause>
          <clause id="a628506" numbering="none">
            <head align="left" preservecase="true">
              <headtext>Which country's laws apply to a dispute</headtext>
            </head>
            <drafting.note id="a153207" jurisdiction="">
              <head align="left" preservecase="true">
                <headtext>Which country's laws apply to a dispute</headtext>
              </head>
              <division id="a000037" level="1">
                <para>
                  <paratext>
                    For business users, this term specifies that any dispute between the service provider and the business user will be subject to English law and the exclusive jurisdiction of the courts of England and Wales. For further information on law and jurisdiction clauses, see 
                    <link href="4-107-3852" style="ACTLinkPLCtoPLC">
                      <ital>Practice note, Governing law and jurisdiction clauses</ital>
                    </link>
                    .
                  </paratext>
                </para>
                <para>
                  <paratext>For consumer users, this term specifies that any dispute between the service provider and the consumer user will be subject to English law. Proceedings can be brought in any of the UK home nations as the CMA considers that a term preventing a consumer from taking action in their home jurisdiction is potentially unfair and unenforceable.</paratext>
                </para>
                <division id="a879292" level="2">
                  <head align="left" preservecase="true">
                    <headtext>Non-contractual disputes or claims</headtext>
                  </head>
                  <para>
                    <paratext>The terms make express reference to "non-contractual disputes or claims" (mainly torts) and tries to bring these within the choice of law of the service provider. This may not succeed but is expressly stated in case it might do so.</paratext>
                  </para>
                  <para>
                    <paratext>
                      For information on the rules that apply since the end of the Brexit transition period, see 
                      <link anchor="a376740" href="w-019-0548" style="ACTLinkPLCtoPLC">
                        <ital>Practice note, Brexit: implications for civil justice and judicial co-operation: Rules that apply from the end of the transition period (1 January 2021)</ital>
                      </link>
                      .
                    </paratext>
                  </para>
                </division>
              </division>
            </drafting.note>
            <para>
              <paratext>If you are a consumer, please note that these terms of service, their subject matter and their formation, are governed by English law. We both agree that the courts of England and Wales will have exclusive jurisdiction, except that if you are a resident of Northern Ireland you may also bring proceedings in Northern Ireland, and if you are a resident of Scotland, you may also bring proceedings in Scotland.</paratext>
            </para>
            <para>
              <paratext>If you are a business, these terms of service, their subject matter and their formation (and any non-contractual disputes or claims) are governed by English law. We both agree to the exclusive jurisdiction of the courts of England and Wales.</paratext>
            </para>
          </clause>
        </operative>
      </body>
      <rev.history>
        <rev.item>
          <rev.title>Consumer reviews policy (April 2025)</rev.title>
          <rev.date>20250603</rev.date>
          <rev.author>Practical Law Media &amp; Telecoms</rev.author>
          <rev.body>
            <division id="a000001" level="1">
              <para>
                <paratext>
                  A reference to having a consumer reviews policy has been added under 
                  <internal.reference refid="a307056">
                    <ital>Drafting note, Assumptions</ital>
                  </internal.reference>
                  .
                </paratext>
              </para>
            </division>
          </rev.body>
        </rev.item>
        <rev.item>
          <rev.title>Substantial redraft (May 2024)</rev.title>
          <rev.date>20240522</rev.date>
          <rev.author>Practical Law Media &amp; Telecoms</rev.author>
          <rev.body>
            <division id="a000002" level="1">
              <para>
                <paratext>These terms have been redrafted and republished alongside some new materials in order to take into account the provisions of the Online Safety Act 2023, which will be applicable to some types of online services but not others.</paratext>
              </para>
            </division>
          </rev.body>
        </rev.item>
        <rev.item>
          <rev.title>New provisions telling users they can claim for breach of contract if content is taken down or they're suspended or banned in breach of these terms (January 2024)</rev.title>
          <rev.date>20240115</rev.date>
          <rev.author>Practical Law Media &amp; Telecoms</rev.author>
          <rev.body>
            <division id="a000003" level="1">
              <para>
                <paratext>Two new provisions have been added to comply with section 72(1) of the Online Safety Act 2023: Your rights to claim against us if we restrict access to your content and Your rights to claim against us if we suspend or ban your use of our service.</paratext>
              </para>
            </division>
          </rev.body>
        </rev.item>
        <rev.item>
          <rev.title>References to Online Safety Bill updated (October 2023)</rev.title>
          <rev.date>20231115</rev.date>
          <rev.author>Practical Law Media &amp; Telecoms</rev.author>
          <rev.body>
            <division id="a000004" level="1">
              <para>
                <paratext>References to the Online Safety Bill have been updated to the Act following Royal Assent.</paratext>
              </para>
            </division>
          </rev.body>
        </rev.item>
        <rev.item>
          <rev.title>Digital Services Act (August 2023)</rev.title>
          <rev.date>20230911</rev.date>
          <rev.author>Practical Law Media &amp; Telecoms</rev.author>
          <rev.body>
            <division id="a000005" level="1">
              <para>
                <paratext>Amendments have been made to several sections of these standard terms and in its drafting notes to reflect provisions in the EU Digital Services Act.</paratext>
              </para>
            </division>
          </rev.body>
        </rev.item>
        <rev.item>
          <rev.title>Ofcom's report on VSPs (August 2023)</rev.title>
          <rev.date>20230822</rev.date>
          <rev.author>Practical Law Media &amp; Telecoms</rev.author>
          <rev.body>
            <division id="a000006" level="1">
              <para>
                <paratext>
                  A few amendments have been made in light of Ofcom's report: 
                  <link href="https://www.ofcom.org.uk/__data/assets/pdf_file/0025/266173/VSP-user-policies-report.pdf" style="ACTLinkURL">
                    <ital>VSP user report</ital>
                  </link>
                  .
                </paratext>
              </para>
            </division>
          </rev.body>
        </rev.item>
        <rev.item>
          <rev.title>Gatekeepers under the DMA (January 2023)</rev.title>
          <rev.date>20230103</rev.date>
          <rev.author>Practical Law Media &amp; Telecoms</rev.author>
          <rev.body>
            <division id="a000007" level="1">
              <para>
                <paratext>Additional drafting notes have been added to say that these standard terms and conditions are drafted on the assumption that the website provider has not been designated a gatekeeper under the EU Digital Markets Act.</paratext>
              </para>
            </division>
          </rev.body>
        </rev.item>
        <rev.item>
          <rev.title>DSA published in Official Journal (October 2022)</rev.title>
          <rev.date>20221031</rev.date>
          <rev.author>Practical Law Media &amp; Telecoms</rev.author>
          <rev.body>
            <division id="a000008" level="1">
              <para>
                <paratext>The drafting notes have been updated to explain that most provisions of the DSA will apply from 17 February 2024.</paratext>
              </para>
            </division>
          </rev.body>
        </rev.item>
        <rev.item>
          <rev.title>Digital Services Act (October 2022)</rev.title>
          <rev.date>20221006</rev.date>
          <rev.author>Practical Law Media &amp; Telecoms</rev.author>
          <rev.body>
            <division id="a000009" level="1">
              <para>
                <paratext>Additional drafting notes and a new final clause have been added to take account of the EU Digital Services Act.</paratext>
              </para>
            </division>
          </rev.body>
        </rev.item>
        <rev.item>
          <rev.title>Terrorist content (September 2022)</rev.title>
          <rev.date>20220922</rev.date>
          <rev.author>Practical Law Media &amp; Telecoms</rev.author>
          <rev.body>
            <division id="a000010" level="1">
              <para>
                <paratext>Additional provisions have been added to reflect the requirements of Regulation (EU) 2021/784 on addressing the dissemination of terrorist content online.</paratext>
              </para>
            </division>
          </rev.body>
        </rev.item>
        <rev.item>
          <rev.title>Additional material added (September 2022)</rev.title>
          <rev.date>20220920</rev.date>
          <rev.author>Practical Law Media &amp; Telecoms</rev.author>
          <rev.body>
            <division id="a000011" level="1">
              <para>
                <paratext>
                  Additional material has been added under 
                  <ital>Prohibited material</ital>
                   particularly to follow the guidance in the government's interim guidance on dealing with child sexual exploitation and abuse material and terrorism material. A few other amendments have been made in other sections of the standard document and the drafting notes.
                </paratext>
              </para>
            </division>
          </rev.body>
        </rev.item>
        <rev.item>
          <rev.title>No text or data mining, or web scraping, clause (September 2021)</rev.title>
          <rev.date>20210929</rev.date>
          <rev.author>Practical Law Media &amp; Telecoms</rev.author>
          <rev.body>
            <division id="a000012" level="1">
              <para>
                <paratext>
                  A new clause has been added to these terms and conditions: 
                  <internal.reference refid="a359849">
                    <ital>No text or data mining, or web scraping</ital>
                  </internal.reference>
                  .
                </paratext>
              </para>
            </division>
          </rev.body>
        </rev.item>
        <rev.item>
          <rev.title>Updates relating to video-sharing platforms and retained EU law (October 2020)</rev.title>
          <rev.date>20201022</rev.date>
          <rev.author>Practical Law Media &amp; Telecoms</rev.author>
          <rev.body>
            <division id="a000013" level="1">
              <para>
                <paratext>A couple of references to rules relating to video-sharing platforms have been added together with references to EU derived UK law remaining in force after the end of the UK-EU transition period as retained EU law.</paratext>
              </para>
            </division>
          </rev.body>
        </rev.item>
      </rev.history>
    </standard.doc>
  </n-docbody>
</n-document>
</file>

<file path=customXml/itemProps1.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3.xml><?xml version="1.0" encoding="utf-8"?>
<ds:datastoreItem xmlns:ds="http://schemas.openxmlformats.org/officeDocument/2006/customXml" ds:itemID="{6E8C11E2-A5D0-49CD-8CF5-66FED38176C9}">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A8F77010-67DE-40D8-B23D-6E5DFF0670A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Website terms of service (UK)</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terms of service (UK)</dc:title>
  <dc:creator>Eden, Shannon P. (Legal)</dc:creator>
  <cp:lastModifiedBy>Carolyn Whiteley</cp:lastModifiedBy>
  <cp:revision>2</cp:revision>
  <cp:lastPrinted>2026-07-03T03:12:00Z</cp:lastPrinted>
  <dcterms:created xsi:type="dcterms:W3CDTF">2026-07-14T06:12:00Z</dcterms:created>
  <dcterms:modified xsi:type="dcterms:W3CDTF">2026-07-14T06:12:00Z</dcterms:modified>
</cp:coreProperties>
</file>